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color w:val="000000"/>
          <w:sz w:val="56"/>
          <w:szCs w:val="44"/>
        </w:rPr>
      </w:pPr>
      <w:r>
        <w:rPr>
          <w:rFonts w:hint="eastAsia" w:asciiTheme="minorEastAsia" w:hAnsiTheme="minorEastAsia" w:eastAsiaTheme="minorEastAsia"/>
          <w:color w:val="000000"/>
          <w:sz w:val="56"/>
          <w:szCs w:val="44"/>
        </w:rPr>
        <w:t>新疆交通建设集团股份有限公司</w:t>
      </w:r>
    </w:p>
    <w:p>
      <w:pPr>
        <w:adjustRightInd w:val="0"/>
        <w:snapToGrid w:val="0"/>
        <w:jc w:val="center"/>
        <w:rPr>
          <w:rFonts w:asciiTheme="minorEastAsia" w:hAnsiTheme="minorEastAsia" w:eastAsiaTheme="minorEastAsia"/>
          <w:color w:val="000000"/>
          <w:sz w:val="56"/>
          <w:szCs w:val="44"/>
        </w:rPr>
      </w:pPr>
      <w:r>
        <w:rPr>
          <w:rFonts w:hint="eastAsia" w:asciiTheme="minorEastAsia" w:hAnsiTheme="minorEastAsia" w:eastAsiaTheme="minorEastAsia"/>
          <w:color w:val="000000"/>
          <w:sz w:val="56"/>
          <w:szCs w:val="44"/>
        </w:rPr>
        <w:t>年度顾问咨询服务</w:t>
      </w:r>
    </w:p>
    <w:p>
      <w:pPr>
        <w:jc w:val="center"/>
        <w:rPr>
          <w:rFonts w:asciiTheme="minorEastAsia" w:hAnsiTheme="minorEastAsia" w:eastAsiaTheme="minorEastAsia"/>
          <w:spacing w:val="12"/>
          <w:sz w:val="48"/>
        </w:rPr>
      </w:pPr>
    </w:p>
    <w:p>
      <w:pPr>
        <w:jc w:val="center"/>
        <w:rPr>
          <w:rFonts w:asciiTheme="minorEastAsia" w:hAnsiTheme="minorEastAsia" w:eastAsiaTheme="minorEastAsia"/>
          <w:spacing w:val="12"/>
          <w:sz w:val="48"/>
        </w:rPr>
      </w:pPr>
    </w:p>
    <w:p>
      <w:pPr>
        <w:jc w:val="center"/>
        <w:rPr>
          <w:rFonts w:asciiTheme="minorEastAsia" w:hAnsiTheme="minorEastAsia" w:eastAsiaTheme="minorEastAsia"/>
          <w:spacing w:val="12"/>
          <w:sz w:val="72"/>
          <w:szCs w:val="72"/>
        </w:rPr>
      </w:pPr>
      <w:r>
        <w:rPr>
          <w:rFonts w:hint="eastAsia" w:asciiTheme="minorEastAsia" w:hAnsiTheme="minorEastAsia" w:eastAsiaTheme="minorEastAsia"/>
          <w:spacing w:val="12"/>
          <w:sz w:val="72"/>
          <w:szCs w:val="72"/>
        </w:rPr>
        <w:t>招 标 文 件</w:t>
      </w:r>
    </w:p>
    <w:p>
      <w:pPr>
        <w:jc w:val="center"/>
        <w:rPr>
          <w:rFonts w:asciiTheme="minorEastAsia" w:hAnsiTheme="minorEastAsia" w:eastAsiaTheme="minorEastAsia"/>
          <w:kern w:val="0"/>
          <w:sz w:val="32"/>
          <w:szCs w:val="32"/>
        </w:rPr>
      </w:pPr>
    </w:p>
    <w:p>
      <w:pPr>
        <w:jc w:val="center"/>
        <w:rPr>
          <w:rFonts w:asciiTheme="minorEastAsia" w:hAnsiTheme="minorEastAsia" w:eastAsiaTheme="minorEastAsia"/>
          <w:sz w:val="32"/>
          <w:szCs w:val="32"/>
        </w:rPr>
      </w:pPr>
      <w:r>
        <w:rPr>
          <w:rFonts w:asciiTheme="minorEastAsia" w:hAnsiTheme="minorEastAsia" w:eastAsiaTheme="minorEastAsia"/>
          <w:kern w:val="0"/>
          <w:sz w:val="32"/>
          <w:szCs w:val="32"/>
        </w:rPr>
        <w:t>招标编号：</w:t>
      </w:r>
      <w:r>
        <w:rPr>
          <w:rFonts w:hint="eastAsia" w:asciiTheme="minorEastAsia" w:hAnsiTheme="minorEastAsia" w:eastAsiaTheme="minorEastAsia"/>
          <w:sz w:val="32"/>
          <w:szCs w:val="32"/>
        </w:rPr>
        <w:t>XJJJ202102</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napToGrid w:val="0"/>
        <w:jc w:val="center"/>
        <w:rPr>
          <w:rFonts w:asciiTheme="minorEastAsia" w:hAnsiTheme="minorEastAsia" w:eastAsiaTheme="minorEastAsia"/>
          <w:kern w:val="0"/>
          <w:sz w:val="32"/>
          <w:szCs w:val="32"/>
        </w:rPr>
      </w:pPr>
      <w:r>
        <w:rPr>
          <w:rFonts w:hint="eastAsia" w:asciiTheme="minorEastAsia" w:hAnsiTheme="minorEastAsia" w:eastAsiaTheme="minorEastAsia"/>
          <w:kern w:val="0"/>
          <w:sz w:val="32"/>
          <w:szCs w:val="32"/>
        </w:rPr>
        <w:t>招标人：新疆交通建设集团股份有限公司</w:t>
      </w:r>
    </w:p>
    <w:p>
      <w:pPr>
        <w:pStyle w:val="14"/>
        <w:tabs>
          <w:tab w:val="left" w:pos="1155"/>
          <w:tab w:val="left" w:pos="1680"/>
        </w:tabs>
        <w:spacing w:line="360" w:lineRule="auto"/>
        <w:jc w:val="center"/>
        <w:rPr>
          <w:rFonts w:asciiTheme="minorEastAsia" w:hAnsiTheme="minorEastAsia" w:eastAsiaTheme="minorEastAsia"/>
          <w:kern w:val="0"/>
          <w:sz w:val="32"/>
          <w:szCs w:val="32"/>
        </w:rPr>
      </w:pPr>
    </w:p>
    <w:p>
      <w:pPr>
        <w:spacing w:line="360" w:lineRule="auto"/>
        <w:jc w:val="center"/>
        <w:rPr>
          <w:rFonts w:asciiTheme="minorEastAsia" w:hAnsiTheme="minorEastAsia" w:eastAsiaTheme="minorEastAsia"/>
          <w:spacing w:val="12"/>
          <w:sz w:val="32"/>
          <w:szCs w:val="32"/>
        </w:rPr>
      </w:pPr>
      <w:r>
        <w:rPr>
          <w:rFonts w:hint="eastAsia" w:asciiTheme="minorEastAsia" w:hAnsiTheme="minorEastAsia" w:eastAsiaTheme="minorEastAsia"/>
          <w:spacing w:val="12"/>
          <w:sz w:val="32"/>
          <w:szCs w:val="32"/>
        </w:rPr>
        <w:t>二〇二一年四月</w:t>
      </w:r>
    </w:p>
    <w:p>
      <w:pPr>
        <w:spacing w:line="360" w:lineRule="auto"/>
        <w:jc w:val="center"/>
        <w:rPr>
          <w:rFonts w:asciiTheme="minorEastAsia" w:hAnsiTheme="minorEastAsia" w:eastAsiaTheme="minorEastAsia"/>
          <w:spacing w:val="12"/>
          <w:sz w:val="32"/>
          <w:szCs w:val="32"/>
        </w:rPr>
      </w:pPr>
    </w:p>
    <w:p>
      <w:pPr>
        <w:spacing w:line="360" w:lineRule="auto"/>
        <w:jc w:val="center"/>
        <w:rPr>
          <w:rFonts w:cs="隶书" w:asciiTheme="minorEastAsia" w:hAnsiTheme="minorEastAsia" w:eastAsiaTheme="minorEastAsia"/>
          <w:b/>
          <w:bCs/>
          <w:sz w:val="32"/>
          <w:szCs w:val="32"/>
          <w:u w:val="single"/>
          <w:lang w:val="zh-CN"/>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080" w:bottom="1440" w:left="1080" w:header="851" w:footer="992" w:gutter="0"/>
          <w:pgNumType w:start="0"/>
          <w:cols w:space="425" w:num="1"/>
          <w:titlePg/>
          <w:docGrid w:linePitch="312" w:charSpace="0"/>
        </w:sectPr>
      </w:pPr>
    </w:p>
    <w:p>
      <w:pPr>
        <w:autoSpaceDE w:val="0"/>
        <w:autoSpaceDN w:val="0"/>
        <w:adjustRightInd w:val="0"/>
        <w:jc w:val="left"/>
        <w:rPr>
          <w:rFonts w:asciiTheme="minorEastAsia" w:hAnsiTheme="minorEastAsia" w:eastAsiaTheme="minorEastAsia"/>
          <w:kern w:val="0"/>
          <w:szCs w:val="24"/>
          <w:lang w:val="zh-CN"/>
        </w:rPr>
      </w:pPr>
    </w:p>
    <w:p>
      <w:pPr>
        <w:pStyle w:val="17"/>
        <w:jc w:val="center"/>
        <w:outlineLvl w:val="0"/>
        <w:rPr>
          <w:rFonts w:asciiTheme="minorEastAsia" w:hAnsiTheme="minorEastAsia" w:eastAsiaTheme="minorEastAsia"/>
          <w:b/>
          <w:sz w:val="32"/>
          <w:szCs w:val="32"/>
        </w:rPr>
      </w:pPr>
      <w:r>
        <w:rPr>
          <w:rFonts w:hint="eastAsia" w:asciiTheme="minorEastAsia" w:hAnsiTheme="minorEastAsia" w:eastAsiaTheme="minorEastAsia"/>
          <w:b/>
          <w:sz w:val="32"/>
          <w:szCs w:val="32"/>
        </w:rPr>
        <w:t>目录</w:t>
      </w: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第一部分招标公告</w:t>
      </w:r>
    </w:p>
    <w:p>
      <w:pPr>
        <w:tabs>
          <w:tab w:val="right" w:pos="8400"/>
        </w:tabs>
        <w:spacing w:line="480" w:lineRule="auto"/>
        <w:ind w:right="146" w:rightChars="61"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第二部分投标人须知</w:t>
      </w:r>
    </w:p>
    <w:p>
      <w:pPr>
        <w:tabs>
          <w:tab w:val="right" w:pos="8400"/>
        </w:tabs>
        <w:spacing w:line="480" w:lineRule="auto"/>
        <w:ind w:right="146" w:rightChars="61"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第三部分项目要求</w:t>
      </w: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第四部分评标程序、办法及标准</w:t>
      </w: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第五部分  投标文件（格式）</w:t>
      </w: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第六部分  采购合同</w:t>
      </w:r>
    </w:p>
    <w:p>
      <w:pPr>
        <w:spacing w:line="48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附件</w:t>
      </w:r>
    </w:p>
    <w:p>
      <w:pPr>
        <w:spacing w:line="480" w:lineRule="auto"/>
        <w:ind w:firstLine="560" w:firstLineChars="200"/>
        <w:rPr>
          <w:rFonts w:asciiTheme="minorEastAsia" w:hAnsiTheme="minorEastAsia" w:eastAsiaTheme="minorEastAsia"/>
          <w:sz w:val="28"/>
          <w:szCs w:val="28"/>
        </w:rPr>
      </w:pPr>
    </w:p>
    <w:p>
      <w:pPr>
        <w:spacing w:line="480" w:lineRule="auto"/>
        <w:ind w:firstLine="560" w:firstLineChars="200"/>
        <w:rPr>
          <w:rFonts w:asciiTheme="minorEastAsia" w:hAnsiTheme="minorEastAsia" w:eastAsiaTheme="minorEastAsia"/>
          <w:sz w:val="28"/>
          <w:szCs w:val="28"/>
        </w:rPr>
      </w:pPr>
    </w:p>
    <w:p>
      <w:pPr>
        <w:spacing w:line="480" w:lineRule="auto"/>
        <w:ind w:firstLine="560" w:firstLineChars="200"/>
        <w:rPr>
          <w:rFonts w:asciiTheme="minorEastAsia" w:hAnsiTheme="minorEastAsia" w:eastAsiaTheme="minorEastAsia"/>
          <w:sz w:val="28"/>
          <w:szCs w:val="28"/>
        </w:rPr>
      </w:pPr>
    </w:p>
    <w:p>
      <w:pPr>
        <w:spacing w:line="480" w:lineRule="auto"/>
        <w:ind w:firstLine="560" w:firstLineChars="200"/>
        <w:rPr>
          <w:rFonts w:asciiTheme="minorEastAsia" w:hAnsiTheme="minorEastAsia" w:eastAsiaTheme="minorEastAsia"/>
          <w:sz w:val="28"/>
          <w:szCs w:val="28"/>
        </w:rPr>
      </w:pPr>
    </w:p>
    <w:p>
      <w:pPr>
        <w:spacing w:line="480" w:lineRule="auto"/>
        <w:ind w:firstLine="560" w:firstLineChars="200"/>
        <w:rPr>
          <w:rFonts w:asciiTheme="minorEastAsia" w:hAnsiTheme="minorEastAsia" w:eastAsiaTheme="minorEastAsia"/>
          <w:sz w:val="28"/>
          <w:szCs w:val="28"/>
        </w:rPr>
      </w:pPr>
    </w:p>
    <w:p>
      <w:pPr>
        <w:spacing w:line="480" w:lineRule="auto"/>
        <w:ind w:firstLine="560" w:firstLineChars="200"/>
        <w:rPr>
          <w:rFonts w:asciiTheme="minorEastAsia" w:hAnsiTheme="minorEastAsia" w:eastAsiaTheme="minorEastAsia"/>
          <w:sz w:val="28"/>
          <w:szCs w:val="28"/>
        </w:rPr>
      </w:pPr>
    </w:p>
    <w:p>
      <w:pPr>
        <w:widowControl/>
        <w:jc w:val="left"/>
        <w:rPr>
          <w:rFonts w:asciiTheme="minorEastAsia" w:hAnsiTheme="minorEastAsia" w:eastAsiaTheme="minorEastAsia"/>
          <w:sz w:val="28"/>
          <w:szCs w:val="28"/>
        </w:rPr>
      </w:pPr>
      <w:r>
        <w:rPr>
          <w:rFonts w:asciiTheme="minorEastAsia" w:hAnsiTheme="minorEastAsia" w:eastAsiaTheme="minorEastAsia"/>
          <w:sz w:val="28"/>
          <w:szCs w:val="28"/>
        </w:rPr>
        <w:br w:type="page"/>
      </w:r>
    </w:p>
    <w:p>
      <w:pPr>
        <w:pStyle w:val="48"/>
        <w:ind w:leftChars="1275"/>
        <w:outlineLvl w:val="0"/>
        <w:rPr>
          <w:rFonts w:asciiTheme="minorEastAsia" w:hAnsiTheme="minorEastAsia" w:eastAsiaTheme="minorEastAsia"/>
          <w:b/>
          <w:sz w:val="36"/>
          <w:szCs w:val="36"/>
          <w:lang w:val="zh-CN"/>
        </w:rPr>
      </w:pPr>
      <w:r>
        <w:rPr>
          <w:rFonts w:hint="eastAsia" w:asciiTheme="minorEastAsia" w:hAnsiTheme="minorEastAsia" w:eastAsiaTheme="minorEastAsia"/>
          <w:b/>
          <w:sz w:val="36"/>
          <w:szCs w:val="36"/>
          <w:lang w:val="zh-CN"/>
        </w:rPr>
        <w:t>第一部分招标公告</w:t>
      </w:r>
    </w:p>
    <w:p>
      <w:pPr>
        <w:rPr>
          <w:rFonts w:asciiTheme="minorEastAsia" w:hAnsiTheme="minorEastAsia" w:eastAsiaTheme="minorEastAsia"/>
          <w:lang w:val="zh-CN"/>
        </w:rPr>
      </w:pPr>
    </w:p>
    <w:p>
      <w:pPr>
        <w:pStyle w:val="48"/>
        <w:spacing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新疆交通建设集团股份有限公司（以下简称“甲方”）拟聘请项目年度顾问咨询服务机构，现拟对咨询机构进行招标，欢迎符合资格条件的咨询机构投标。</w:t>
      </w:r>
    </w:p>
    <w:p>
      <w:pPr>
        <w:adjustRightInd w:val="0"/>
        <w:snapToGrid w:val="0"/>
        <w:spacing w:line="360" w:lineRule="auto"/>
        <w:ind w:firstLine="482" w:firstLineChars="200"/>
        <w:rPr>
          <w:rFonts w:asciiTheme="minorEastAsia" w:hAnsiTheme="minorEastAsia" w:eastAsiaTheme="minorEastAsia"/>
          <w:lang w:val="zh-CN"/>
        </w:rPr>
      </w:pPr>
      <w:r>
        <w:rPr>
          <w:rFonts w:hint="eastAsia" w:asciiTheme="minorEastAsia" w:hAnsiTheme="minorEastAsia" w:eastAsiaTheme="minorEastAsia"/>
          <w:b/>
          <w:lang w:val="zh-CN"/>
        </w:rPr>
        <w:t>一、项目名称：</w:t>
      </w:r>
      <w:r>
        <w:rPr>
          <w:rFonts w:hint="eastAsia" w:asciiTheme="minorEastAsia" w:hAnsiTheme="minorEastAsia" w:eastAsiaTheme="minorEastAsia"/>
          <w:lang w:val="zh-CN"/>
        </w:rPr>
        <w:t>新疆交通建设集团股份有限公司年度顾问咨询服务</w:t>
      </w:r>
    </w:p>
    <w:p>
      <w:pPr>
        <w:adjustRightInd w:val="0"/>
        <w:snapToGrid w:val="0"/>
        <w:spacing w:line="360" w:lineRule="auto"/>
        <w:ind w:firstLine="482" w:firstLineChars="200"/>
        <w:rPr>
          <w:rFonts w:asciiTheme="minorEastAsia" w:hAnsiTheme="minorEastAsia" w:eastAsiaTheme="minorEastAsia"/>
          <w:lang w:val="zh-CN"/>
        </w:rPr>
      </w:pPr>
      <w:r>
        <w:rPr>
          <w:rFonts w:hint="eastAsia" w:asciiTheme="minorEastAsia" w:hAnsiTheme="minorEastAsia" w:eastAsiaTheme="minorEastAsia"/>
          <w:b/>
          <w:lang w:val="zh-CN"/>
        </w:rPr>
        <w:t>二、项目编号：</w:t>
      </w:r>
      <w:r>
        <w:rPr>
          <w:rFonts w:hint="eastAsia" w:asciiTheme="minorEastAsia" w:hAnsiTheme="minorEastAsia" w:eastAsiaTheme="minorEastAsia"/>
          <w:lang w:val="zh-CN"/>
        </w:rPr>
        <w:t>XJJJ202102</w:t>
      </w:r>
    </w:p>
    <w:p>
      <w:pPr>
        <w:adjustRightInd w:val="0"/>
        <w:snapToGrid w:val="0"/>
        <w:spacing w:line="360" w:lineRule="auto"/>
        <w:ind w:firstLine="482" w:firstLineChars="200"/>
        <w:rPr>
          <w:rFonts w:asciiTheme="minorEastAsia" w:hAnsiTheme="minorEastAsia" w:eastAsiaTheme="minorEastAsia"/>
          <w:b/>
          <w:lang w:val="zh-CN"/>
        </w:rPr>
      </w:pPr>
      <w:r>
        <w:rPr>
          <w:rFonts w:hint="eastAsia" w:asciiTheme="minorEastAsia" w:hAnsiTheme="minorEastAsia" w:eastAsiaTheme="minorEastAsia"/>
          <w:b/>
          <w:lang w:val="zh-CN"/>
        </w:rPr>
        <w:t>三、资金来源：</w:t>
      </w:r>
      <w:r>
        <w:rPr>
          <w:rFonts w:hint="eastAsia" w:cs="宋体" w:asciiTheme="minorEastAsia" w:hAnsiTheme="minorEastAsia" w:eastAsiaTheme="minorEastAsia"/>
        </w:rPr>
        <w:t>自筹资金，已落实。</w:t>
      </w:r>
    </w:p>
    <w:p>
      <w:pPr>
        <w:adjustRightInd w:val="0"/>
        <w:snapToGrid w:val="0"/>
        <w:spacing w:line="360" w:lineRule="auto"/>
        <w:ind w:firstLine="482" w:firstLineChars="200"/>
        <w:rPr>
          <w:rFonts w:asciiTheme="minorEastAsia" w:hAnsiTheme="minorEastAsia" w:eastAsiaTheme="minorEastAsia"/>
          <w:lang w:val="zh-CN"/>
        </w:rPr>
      </w:pPr>
      <w:r>
        <w:rPr>
          <w:rFonts w:hint="eastAsia" w:asciiTheme="minorEastAsia" w:hAnsiTheme="minorEastAsia" w:eastAsiaTheme="minorEastAsia"/>
          <w:b/>
          <w:lang w:val="zh-CN"/>
        </w:rPr>
        <w:t>四、招标内容：</w:t>
      </w:r>
      <w:r>
        <w:rPr>
          <w:rFonts w:hint="eastAsia" w:asciiTheme="minorEastAsia" w:hAnsiTheme="minorEastAsia" w:eastAsiaTheme="minorEastAsia"/>
          <w:lang w:val="zh-CN"/>
        </w:rPr>
        <w:t>新疆交通建设集团股份有限公司年度顾问咨询服务，</w:t>
      </w:r>
      <w:r>
        <w:rPr>
          <w:rFonts w:hint="eastAsia" w:cs="宋体" w:asciiTheme="minorEastAsia" w:hAnsiTheme="minorEastAsia" w:eastAsiaTheme="minorEastAsia"/>
        </w:rPr>
        <w:t>详细的内容及要求见招标文件第三部分。</w:t>
      </w:r>
    </w:p>
    <w:p>
      <w:pPr>
        <w:pStyle w:val="5"/>
        <w:numPr>
          <w:ilvl w:val="0"/>
          <w:numId w:val="0"/>
        </w:numPr>
        <w:adjustRightInd w:val="0"/>
        <w:snapToGrid w:val="0"/>
        <w:spacing w:before="0" w:after="0"/>
        <w:ind w:firstLine="482" w:firstLineChars="200"/>
        <w:rPr>
          <w:rFonts w:asciiTheme="minorEastAsia" w:hAnsiTheme="minorEastAsia" w:eastAsiaTheme="minorEastAsia"/>
          <w:lang w:val="zh-CN"/>
        </w:rPr>
      </w:pPr>
      <w:r>
        <w:rPr>
          <w:rFonts w:hint="eastAsia" w:asciiTheme="minorEastAsia" w:hAnsiTheme="minorEastAsia" w:eastAsiaTheme="minorEastAsia"/>
          <w:lang w:val="zh-CN"/>
        </w:rPr>
        <w:t>五、资格要求</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1、在中国境内注册具有独立法人资格，持有合法营业执照；</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2、具有良好的商业信誉和健全的财务会计制度，提供2019或2020年度经第三方审计机构出具的财务审计报告；</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3、具有履行合同所必需的设备和专业技术能力,提供承诺书；</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4、有依法缴纳税收和社会保障资金的良好记录，提供单位近六个月中任意三个月的税收和社保缴纳证明；</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5、参加政府采购活动前三年内，在经营活动中没有重大违法记录；</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6、投标人是全国投资项目在线审批监管平台备案的工程咨询企业；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7、投标人通过“信用中国”网站(www.creditchina.gov.cn)查询投标人“未被列入失信被执行人”、“重大税收违法案件当事人名单”等相关主体信用记录；（提供查询结果网页截图并加盖投标人公章）；</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8、本项目不允许联合体参与投标。</w:t>
      </w:r>
    </w:p>
    <w:p>
      <w:pPr>
        <w:pStyle w:val="5"/>
        <w:numPr>
          <w:ilvl w:val="3"/>
          <w:numId w:val="0"/>
        </w:numPr>
        <w:adjustRightInd w:val="0"/>
        <w:snapToGrid w:val="0"/>
        <w:spacing w:before="0" w:after="0"/>
        <w:ind w:firstLine="482" w:firstLineChars="200"/>
        <w:rPr>
          <w:rFonts w:asciiTheme="minorEastAsia" w:hAnsiTheme="minorEastAsia" w:eastAsiaTheme="minorEastAsia"/>
          <w:lang w:val="zh-CN"/>
        </w:rPr>
      </w:pPr>
      <w:r>
        <w:rPr>
          <w:rFonts w:hint="eastAsia" w:asciiTheme="minorEastAsia" w:hAnsiTheme="minorEastAsia" w:eastAsiaTheme="minorEastAsia"/>
          <w:lang w:val="zh-CN"/>
        </w:rPr>
        <w:t>六、费用要求</w:t>
      </w:r>
    </w:p>
    <w:p>
      <w:pPr>
        <w:pStyle w:val="35"/>
        <w:adjustRightInd w:val="0"/>
        <w:ind w:firstLine="480"/>
        <w:rPr>
          <w:rFonts w:asciiTheme="minorEastAsia" w:hAnsiTheme="minorEastAsia" w:eastAsiaTheme="minorEastAsia"/>
        </w:rPr>
      </w:pPr>
      <w:r>
        <w:rPr>
          <w:rFonts w:asciiTheme="minorEastAsia" w:hAnsiTheme="minorEastAsia" w:eastAsiaTheme="minorEastAsia"/>
        </w:rPr>
        <w:t>投标人准备和参加投标活动发生的费用自理</w:t>
      </w:r>
      <w:r>
        <w:rPr>
          <w:rFonts w:hint="eastAsia" w:asciiTheme="minorEastAsia" w:hAnsiTheme="minorEastAsia" w:eastAsiaTheme="minorEastAsia"/>
        </w:rPr>
        <w:t>。</w:t>
      </w:r>
    </w:p>
    <w:p>
      <w:pPr>
        <w:pStyle w:val="5"/>
        <w:numPr>
          <w:ilvl w:val="0"/>
          <w:numId w:val="0"/>
        </w:numPr>
        <w:adjustRightInd w:val="0"/>
        <w:snapToGrid w:val="0"/>
        <w:spacing w:before="0" w:after="0"/>
        <w:ind w:firstLine="482" w:firstLineChars="200"/>
        <w:rPr>
          <w:rFonts w:asciiTheme="minorEastAsia" w:hAnsiTheme="minorEastAsia" w:eastAsiaTheme="minorEastAsia"/>
          <w:lang w:val="zh-CN"/>
        </w:rPr>
      </w:pPr>
      <w:r>
        <w:rPr>
          <w:rFonts w:hint="eastAsia" w:asciiTheme="minorEastAsia" w:hAnsiTheme="minorEastAsia" w:eastAsiaTheme="minorEastAsia"/>
          <w:lang w:val="zh-CN"/>
        </w:rPr>
        <w:t>七、保密</w:t>
      </w:r>
    </w:p>
    <w:p>
      <w:pPr>
        <w:pStyle w:val="35"/>
        <w:adjustRightInd w:val="0"/>
        <w:ind w:firstLine="480"/>
        <w:rPr>
          <w:rFonts w:asciiTheme="minorEastAsia" w:hAnsiTheme="minorEastAsia" w:eastAsiaTheme="minorEastAsia"/>
        </w:rPr>
      </w:pPr>
      <w:r>
        <w:rPr>
          <w:rFonts w:hint="eastAsia" w:asciiTheme="minorEastAsia" w:hAnsiTheme="minorEastAsia" w:eastAsiaTheme="minorEastAsia"/>
        </w:rPr>
        <w:t>投标人</w:t>
      </w:r>
      <w:r>
        <w:rPr>
          <w:rFonts w:asciiTheme="minorEastAsia" w:hAnsiTheme="minorEastAsia" w:eastAsiaTheme="minorEastAsia"/>
        </w:rPr>
        <w:t>应对招标文件中的商业和技术等秘密保密，违者应对由此造成的后果承担法律责任。</w:t>
      </w:r>
    </w:p>
    <w:p>
      <w:pPr>
        <w:pStyle w:val="5"/>
        <w:numPr>
          <w:ilvl w:val="0"/>
          <w:numId w:val="0"/>
        </w:numPr>
        <w:adjustRightInd w:val="0"/>
        <w:snapToGrid w:val="0"/>
        <w:spacing w:before="0" w:after="0"/>
        <w:ind w:firstLine="482" w:firstLineChars="200"/>
        <w:rPr>
          <w:rFonts w:asciiTheme="minorEastAsia" w:hAnsiTheme="minorEastAsia" w:eastAsiaTheme="minorEastAsia"/>
          <w:lang w:val="zh-CN"/>
        </w:rPr>
      </w:pPr>
      <w:r>
        <w:rPr>
          <w:rFonts w:hint="eastAsia" w:asciiTheme="minorEastAsia" w:hAnsiTheme="minorEastAsia" w:eastAsiaTheme="minorEastAsia"/>
          <w:lang w:val="zh-CN"/>
        </w:rPr>
        <w:t>八、投标报名及招标文件获取</w:t>
      </w:r>
    </w:p>
    <w:p>
      <w:pPr>
        <w:adjustRightInd w:val="0"/>
        <w:snapToGrid w:val="0"/>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1、获取招标文件时间：</w:t>
      </w:r>
      <w:r>
        <w:rPr>
          <w:rFonts w:cs="宋体" w:asciiTheme="minorEastAsia" w:hAnsiTheme="minorEastAsia" w:eastAsiaTheme="minorEastAsia"/>
        </w:rPr>
        <w:t>202</w:t>
      </w:r>
      <w:r>
        <w:rPr>
          <w:rFonts w:hint="eastAsia" w:cs="宋体" w:asciiTheme="minorEastAsia" w:hAnsiTheme="minorEastAsia" w:eastAsiaTheme="minorEastAsia"/>
        </w:rPr>
        <w:t>1</w:t>
      </w:r>
      <w:r>
        <w:rPr>
          <w:rFonts w:cs="宋体" w:asciiTheme="minorEastAsia" w:hAnsiTheme="minorEastAsia" w:eastAsiaTheme="minorEastAsia"/>
        </w:rPr>
        <w:t>年</w:t>
      </w:r>
      <w:r>
        <w:rPr>
          <w:rFonts w:hint="eastAsia" w:cs="宋体" w:asciiTheme="minorEastAsia" w:hAnsiTheme="minorEastAsia" w:eastAsiaTheme="minorEastAsia"/>
        </w:rPr>
        <w:t>4月8日至</w:t>
      </w:r>
      <w:r>
        <w:rPr>
          <w:rFonts w:cs="宋体" w:asciiTheme="minorEastAsia" w:hAnsiTheme="minorEastAsia" w:eastAsiaTheme="minorEastAsia"/>
        </w:rPr>
        <w:t>202</w:t>
      </w:r>
      <w:r>
        <w:rPr>
          <w:rFonts w:hint="eastAsia" w:cs="宋体" w:asciiTheme="minorEastAsia" w:hAnsiTheme="minorEastAsia" w:eastAsiaTheme="minorEastAsia"/>
        </w:rPr>
        <w:t>1</w:t>
      </w:r>
      <w:r>
        <w:rPr>
          <w:rFonts w:cs="宋体" w:asciiTheme="minorEastAsia" w:hAnsiTheme="minorEastAsia" w:eastAsiaTheme="minorEastAsia"/>
        </w:rPr>
        <w:t>年</w:t>
      </w:r>
      <w:r>
        <w:rPr>
          <w:rFonts w:hint="eastAsia" w:cs="宋体" w:asciiTheme="minorEastAsia" w:hAnsiTheme="minorEastAsia" w:eastAsiaTheme="minorEastAsia"/>
        </w:rPr>
        <w:t>4月13日；</w:t>
      </w:r>
    </w:p>
    <w:p>
      <w:pPr>
        <w:adjustRightInd w:val="0"/>
        <w:snapToGrid w:val="0"/>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2、获取文件相关要求：</w:t>
      </w:r>
      <w:r>
        <w:rPr>
          <w:rFonts w:hint="eastAsia" w:asciiTheme="minorEastAsia" w:hAnsiTheme="minorEastAsia" w:eastAsiaTheme="minorEastAsia"/>
          <w:szCs w:val="24"/>
        </w:rPr>
        <w:t>参加投标的单位，</w:t>
      </w:r>
      <w:r>
        <w:rPr>
          <w:rFonts w:hint="eastAsia" w:asciiTheme="minorEastAsia" w:hAnsiTheme="minorEastAsia" w:eastAsiaTheme="minorEastAsia"/>
          <w:szCs w:val="24"/>
          <w:u w:val="none"/>
        </w:rPr>
        <w:t>须于报名截止时间前在</w:t>
      </w:r>
      <w:r>
        <w:rPr>
          <w:rFonts w:hint="eastAsia" w:asciiTheme="minorEastAsia" w:hAnsiTheme="minorEastAsia" w:eastAsiaTheme="minorEastAsia"/>
          <w:u w:val="none"/>
        </w:rPr>
        <w:t>新疆交通建设集团股份有限公司官网（</w:t>
      </w:r>
      <w:r>
        <w:rPr>
          <w:rFonts w:asciiTheme="minorEastAsia" w:hAnsiTheme="minorEastAsia" w:eastAsiaTheme="minorEastAsia"/>
          <w:u w:val="none"/>
        </w:rPr>
        <w:t>https://www.xjjjjt.com</w:t>
      </w:r>
      <w:r>
        <w:rPr>
          <w:rFonts w:hint="eastAsia" w:asciiTheme="minorEastAsia" w:hAnsiTheme="minorEastAsia" w:eastAsiaTheme="minorEastAsia"/>
          <w:u w:val="none"/>
        </w:rPr>
        <w:t>）在</w:t>
      </w:r>
      <w:r>
        <w:rPr>
          <w:rFonts w:hint="eastAsia" w:asciiTheme="minorEastAsia" w:hAnsiTheme="minorEastAsia" w:eastAsiaTheme="minorEastAsia"/>
          <w:u w:val="none"/>
          <w:lang w:val="en-US" w:eastAsia="zh-CN"/>
        </w:rPr>
        <w:t>新闻中心的</w:t>
      </w:r>
      <w:r>
        <w:rPr>
          <w:rFonts w:hint="eastAsia" w:asciiTheme="minorEastAsia" w:hAnsiTheme="minorEastAsia" w:eastAsiaTheme="minorEastAsia"/>
          <w:u w:val="none"/>
        </w:rPr>
        <w:t>通知公告栏中通过下载附件</w:t>
      </w:r>
      <w:r>
        <w:rPr>
          <w:rFonts w:hint="eastAsia" w:asciiTheme="minorEastAsia" w:hAnsiTheme="minorEastAsia" w:eastAsiaTheme="minorEastAsia"/>
          <w:szCs w:val="24"/>
        </w:rPr>
        <w:t xml:space="preserve">获取招标文件： </w:t>
      </w:r>
    </w:p>
    <w:p>
      <w:pPr>
        <w:adjustRightInd w:val="0"/>
        <w:snapToGrid w:val="0"/>
        <w:spacing w:line="360" w:lineRule="auto"/>
        <w:ind w:firstLine="480" w:firstLineChars="200"/>
        <w:jc w:val="left"/>
        <w:outlineLvl w:val="0"/>
        <w:rPr>
          <w:rFonts w:asciiTheme="minorEastAsia" w:hAnsiTheme="minorEastAsia" w:eastAsiaTheme="minorEastAsia"/>
          <w:szCs w:val="24"/>
        </w:rPr>
      </w:pPr>
      <w:bookmarkStart w:id="0" w:name="_Hlk520374630"/>
      <w:r>
        <w:rPr>
          <w:rFonts w:hint="eastAsia" w:asciiTheme="minorEastAsia" w:hAnsiTheme="minorEastAsia" w:eastAsiaTheme="minorEastAsia"/>
          <w:szCs w:val="24"/>
        </w:rPr>
        <w:t>3、报名方式</w:t>
      </w:r>
    </w:p>
    <w:p>
      <w:pPr>
        <w:adjustRightInd w:val="0"/>
        <w:snapToGrid w:val="0"/>
        <w:spacing w:line="360" w:lineRule="auto"/>
        <w:ind w:firstLine="480" w:firstLineChars="200"/>
        <w:jc w:val="left"/>
        <w:outlineLvl w:val="0"/>
        <w:rPr>
          <w:rFonts w:asciiTheme="minorEastAsia" w:hAnsiTheme="minorEastAsia" w:eastAsiaTheme="minorEastAsia"/>
          <w:szCs w:val="24"/>
        </w:rPr>
      </w:pPr>
      <w:r>
        <w:rPr>
          <w:rFonts w:hint="eastAsia" w:asciiTheme="minorEastAsia" w:hAnsiTheme="minorEastAsia" w:eastAsiaTheme="minorEastAsia"/>
          <w:szCs w:val="24"/>
        </w:rPr>
        <w:t>参加投标的单位需在4月9日17:00（北京时间）前向910924933@qq.com邮箱发送报名表并附以下文件内容：</w:t>
      </w:r>
    </w:p>
    <w:p>
      <w:pPr>
        <w:adjustRightInd w:val="0"/>
        <w:snapToGrid w:val="0"/>
        <w:spacing w:line="360" w:lineRule="auto"/>
        <w:ind w:firstLine="480" w:firstLineChars="200"/>
        <w:jc w:val="left"/>
        <w:outlineLvl w:val="0"/>
        <w:rPr>
          <w:rFonts w:asciiTheme="minorEastAsia" w:hAnsiTheme="minorEastAsia" w:eastAsiaTheme="minorEastAsia"/>
          <w:szCs w:val="24"/>
        </w:rPr>
      </w:pPr>
      <w:r>
        <w:rPr>
          <w:rFonts w:hint="eastAsia" w:asciiTheme="minorEastAsia" w:hAnsiTheme="minorEastAsia" w:eastAsiaTheme="minorEastAsia"/>
          <w:szCs w:val="24"/>
        </w:rPr>
        <w:t>（1）营业执照副本（复印件加盖单位公章）；</w:t>
      </w:r>
    </w:p>
    <w:p>
      <w:pPr>
        <w:adjustRightInd w:val="0"/>
        <w:snapToGrid w:val="0"/>
        <w:spacing w:line="360" w:lineRule="auto"/>
        <w:ind w:firstLine="480" w:firstLineChars="200"/>
        <w:jc w:val="left"/>
        <w:outlineLvl w:val="0"/>
        <w:rPr>
          <w:rFonts w:asciiTheme="minorEastAsia" w:hAnsiTheme="minorEastAsia" w:eastAsiaTheme="minorEastAsia"/>
          <w:szCs w:val="24"/>
        </w:rPr>
      </w:pPr>
      <w:r>
        <w:rPr>
          <w:rFonts w:hint="eastAsia" w:asciiTheme="minorEastAsia" w:hAnsiTheme="minorEastAsia" w:eastAsiaTheme="minorEastAsia"/>
          <w:szCs w:val="24"/>
        </w:rPr>
        <w:t>（2）法定代表人授权委托书及被授权人身份证件；</w:t>
      </w:r>
    </w:p>
    <w:p>
      <w:pPr>
        <w:adjustRightInd w:val="0"/>
        <w:snapToGrid w:val="0"/>
        <w:spacing w:line="360" w:lineRule="auto"/>
        <w:ind w:firstLine="480" w:firstLineChars="200"/>
        <w:jc w:val="left"/>
        <w:outlineLvl w:val="0"/>
        <w:rPr>
          <w:rFonts w:asciiTheme="minorEastAsia" w:hAnsiTheme="minorEastAsia" w:eastAsiaTheme="minorEastAsia"/>
          <w:szCs w:val="24"/>
        </w:rPr>
      </w:pPr>
      <w:r>
        <w:rPr>
          <w:rFonts w:hint="eastAsia" w:asciiTheme="minorEastAsia" w:hAnsiTheme="minorEastAsia" w:eastAsiaTheme="minorEastAsia"/>
          <w:szCs w:val="24"/>
        </w:rPr>
        <w:t>4、招标文件售价：0元。</w:t>
      </w:r>
    </w:p>
    <w:bookmarkEnd w:id="0"/>
    <w:p>
      <w:pPr>
        <w:pStyle w:val="5"/>
        <w:numPr>
          <w:ilvl w:val="0"/>
          <w:numId w:val="0"/>
        </w:numPr>
        <w:adjustRightInd w:val="0"/>
        <w:snapToGrid w:val="0"/>
        <w:spacing w:before="0" w:after="0"/>
        <w:ind w:firstLine="482" w:firstLineChars="200"/>
        <w:rPr>
          <w:rFonts w:asciiTheme="minorEastAsia" w:hAnsiTheme="minorEastAsia" w:eastAsiaTheme="minorEastAsia"/>
          <w:lang w:val="zh-CN"/>
        </w:rPr>
      </w:pPr>
      <w:r>
        <w:rPr>
          <w:rFonts w:hint="eastAsia" w:asciiTheme="minorEastAsia" w:hAnsiTheme="minorEastAsia" w:eastAsiaTheme="minorEastAsia"/>
          <w:lang w:val="en-US" w:eastAsia="zh-CN"/>
        </w:rPr>
        <w:t>九</w:t>
      </w:r>
      <w:r>
        <w:rPr>
          <w:rFonts w:hint="eastAsia" w:asciiTheme="minorEastAsia" w:hAnsiTheme="minorEastAsia" w:eastAsiaTheme="minorEastAsia"/>
          <w:lang w:val="zh-CN"/>
        </w:rPr>
        <w:t>、投标文件的递交、开标:</w:t>
      </w:r>
    </w:p>
    <w:p>
      <w:pPr>
        <w:pStyle w:val="35"/>
        <w:adjustRightInd w:val="0"/>
        <w:ind w:firstLine="48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投标文件递交的截止时间(同开标时间)：</w:t>
      </w:r>
      <w:r>
        <w:rPr>
          <w:rFonts w:hint="eastAsia" w:asciiTheme="minorEastAsia" w:hAnsiTheme="minorEastAsia" w:eastAsiaTheme="minorEastAsia"/>
        </w:rPr>
        <w:t>2021年4月14日11点整。</w:t>
      </w:r>
    </w:p>
    <w:p>
      <w:pPr>
        <w:pStyle w:val="35"/>
        <w:adjustRightInd w:val="0"/>
        <w:ind w:firstLine="48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 xml:space="preserve">递交地点（同开标地点）： </w:t>
      </w:r>
      <w:r>
        <w:rPr>
          <w:rFonts w:hint="eastAsia" w:asciiTheme="minorEastAsia" w:hAnsiTheme="minorEastAsia" w:eastAsiaTheme="minorEastAsia"/>
        </w:rPr>
        <w:t>研发楼一楼会议室（新疆交通建设集团股份有限公司）</w:t>
      </w:r>
      <w:r>
        <w:rPr>
          <w:rFonts w:asciiTheme="minorEastAsia" w:hAnsiTheme="minorEastAsia" w:eastAsiaTheme="minorEastAsia"/>
        </w:rPr>
        <w:t>。</w:t>
      </w:r>
    </w:p>
    <w:p>
      <w:pPr>
        <w:pStyle w:val="35"/>
        <w:adjustRightInd w:val="0"/>
        <w:ind w:firstLine="48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逾期送达的或者未送达指定地点的投标文件，招标人不予受理。</w:t>
      </w:r>
    </w:p>
    <w:p>
      <w:pPr>
        <w:pStyle w:val="5"/>
        <w:numPr>
          <w:ilvl w:val="0"/>
          <w:numId w:val="0"/>
        </w:numPr>
        <w:adjustRightInd w:val="0"/>
        <w:snapToGrid w:val="0"/>
        <w:spacing w:before="0" w:after="0"/>
        <w:ind w:firstLine="482" w:firstLineChars="200"/>
        <w:rPr>
          <w:rFonts w:asciiTheme="minorEastAsia" w:hAnsiTheme="minorEastAsia" w:eastAsiaTheme="minorEastAsia"/>
        </w:rPr>
      </w:pPr>
      <w:r>
        <w:rPr>
          <w:rFonts w:hint="eastAsia" w:asciiTheme="minorEastAsia" w:hAnsiTheme="minorEastAsia" w:eastAsiaTheme="minorEastAsia"/>
          <w:lang w:val="en-US" w:eastAsia="zh-CN"/>
        </w:rPr>
        <w:t>十</w:t>
      </w:r>
      <w:r>
        <w:rPr>
          <w:rFonts w:hint="eastAsia" w:asciiTheme="minorEastAsia" w:hAnsiTheme="minorEastAsia" w:eastAsiaTheme="minorEastAsia"/>
        </w:rPr>
        <w:t>、本招标公告在新疆交通建设集团股份有限公司官网以公告形式发布。</w:t>
      </w:r>
    </w:p>
    <w:p>
      <w:pPr>
        <w:pStyle w:val="5"/>
        <w:numPr>
          <w:ilvl w:val="0"/>
          <w:numId w:val="0"/>
        </w:numPr>
        <w:adjustRightInd w:val="0"/>
        <w:snapToGrid w:val="0"/>
        <w:spacing w:before="0" w:after="0"/>
        <w:ind w:firstLine="482" w:firstLineChars="200"/>
        <w:rPr>
          <w:rFonts w:asciiTheme="minorEastAsia" w:hAnsiTheme="minorEastAsia" w:eastAsiaTheme="minorEastAsia"/>
          <w:lang w:val="zh-CN"/>
        </w:rPr>
      </w:pPr>
      <w:r>
        <w:rPr>
          <w:rFonts w:hint="eastAsia" w:asciiTheme="minorEastAsia" w:hAnsiTheme="minorEastAsia" w:eastAsiaTheme="minorEastAsia"/>
          <w:lang w:val="en-US" w:eastAsia="zh-CN"/>
        </w:rPr>
        <w:t>十一</w:t>
      </w:r>
      <w:r>
        <w:rPr>
          <w:rFonts w:hint="eastAsia" w:asciiTheme="minorEastAsia" w:hAnsiTheme="minorEastAsia" w:eastAsiaTheme="minorEastAsia"/>
        </w:rPr>
        <w:t>、</w:t>
      </w:r>
      <w:r>
        <w:rPr>
          <w:rFonts w:hint="eastAsia" w:asciiTheme="minorEastAsia" w:hAnsiTheme="minorEastAsia" w:eastAsiaTheme="minorEastAsia"/>
          <w:lang w:val="zh-CN"/>
        </w:rPr>
        <w:t xml:space="preserve"> 联系方式：</w:t>
      </w:r>
    </w:p>
    <w:p>
      <w:pPr>
        <w:pStyle w:val="35"/>
        <w:adjustRightInd w:val="0"/>
        <w:ind w:firstLine="480"/>
        <w:rPr>
          <w:rFonts w:asciiTheme="minorEastAsia" w:hAnsiTheme="minorEastAsia" w:eastAsiaTheme="minorEastAsia"/>
        </w:rPr>
      </w:pPr>
      <w:r>
        <w:rPr>
          <w:rFonts w:hint="eastAsia" w:asciiTheme="minorEastAsia" w:hAnsiTheme="minorEastAsia" w:eastAsiaTheme="minorEastAsia"/>
        </w:rPr>
        <w:t>招标人：新疆交通建设集团股份有限公司</w:t>
      </w:r>
    </w:p>
    <w:p>
      <w:pPr>
        <w:pStyle w:val="35"/>
        <w:adjustRightInd w:val="0"/>
        <w:ind w:firstLine="480"/>
        <w:rPr>
          <w:rFonts w:asciiTheme="minorEastAsia" w:hAnsiTheme="minorEastAsia" w:eastAsiaTheme="minorEastAsia"/>
        </w:rPr>
      </w:pPr>
      <w:r>
        <w:rPr>
          <w:rFonts w:hint="eastAsia" w:asciiTheme="minorEastAsia" w:hAnsiTheme="minorEastAsia" w:eastAsiaTheme="minorEastAsia"/>
        </w:rPr>
        <w:t>地  址：新疆乌鲁木齐新市区乌</w:t>
      </w:r>
      <w:bookmarkStart w:id="9" w:name="_GoBack"/>
      <w:bookmarkEnd w:id="9"/>
      <w:r>
        <w:rPr>
          <w:rFonts w:hint="eastAsia" w:asciiTheme="minorEastAsia" w:hAnsiTheme="minorEastAsia" w:eastAsiaTheme="minorEastAsia"/>
        </w:rPr>
        <w:t>昌辅道840号</w:t>
      </w:r>
    </w:p>
    <w:p>
      <w:pPr>
        <w:pStyle w:val="35"/>
        <w:adjustRightInd w:val="0"/>
        <w:ind w:firstLine="480"/>
        <w:rPr>
          <w:rFonts w:asciiTheme="minorEastAsia" w:hAnsiTheme="minorEastAsia" w:eastAsiaTheme="minorEastAsia"/>
        </w:rPr>
      </w:pPr>
      <w:r>
        <w:rPr>
          <w:rFonts w:hint="eastAsia" w:asciiTheme="minorEastAsia" w:hAnsiTheme="minorEastAsia" w:eastAsiaTheme="minorEastAsia"/>
        </w:rPr>
        <w:t>联系人及电话：余向峦 13029669586</w:t>
      </w:r>
    </w:p>
    <w:p>
      <w:pPr>
        <w:widowControl/>
        <w:jc w:val="left"/>
        <w:rPr>
          <w:rFonts w:asciiTheme="minorEastAsia" w:hAnsiTheme="minorEastAsia" w:eastAsiaTheme="minorEastAsia"/>
          <w:szCs w:val="24"/>
        </w:rPr>
      </w:pPr>
      <w:r>
        <w:rPr>
          <w:rFonts w:asciiTheme="minorEastAsia" w:hAnsiTheme="minorEastAsia" w:eastAsiaTheme="minorEastAsia"/>
        </w:rPr>
        <w:br w:type="page"/>
      </w:r>
    </w:p>
    <w:p>
      <w:pPr>
        <w:pStyle w:val="4"/>
        <w:numPr>
          <w:ilvl w:val="0"/>
          <w:numId w:val="0"/>
        </w:numPr>
        <w:adjustRightInd w:val="0"/>
        <w:snapToGrid w:val="0"/>
        <w:spacing w:beforeLines="100" w:afterLines="100"/>
        <w:ind w:left="720" w:hanging="720" w:hangingChars="224"/>
        <w:jc w:val="center"/>
        <w:rPr>
          <w:rFonts w:asciiTheme="minorEastAsia" w:hAnsiTheme="minorEastAsia" w:eastAsiaTheme="minorEastAsia"/>
          <w:szCs w:val="32"/>
          <w:lang w:val="zh-CN"/>
        </w:rPr>
      </w:pPr>
      <w:r>
        <w:rPr>
          <w:rFonts w:hint="eastAsia" w:asciiTheme="minorEastAsia" w:hAnsiTheme="minorEastAsia" w:eastAsiaTheme="minorEastAsia"/>
          <w:szCs w:val="32"/>
          <w:lang w:val="zh-CN"/>
        </w:rPr>
        <w:t>第二部分投标人须知</w:t>
      </w:r>
    </w:p>
    <w:p>
      <w:pPr>
        <w:jc w:val="center"/>
        <w:rPr>
          <w:rFonts w:asciiTheme="minorEastAsia" w:hAnsiTheme="minorEastAsia" w:eastAsiaTheme="minorEastAsia"/>
          <w:lang w:val="zh-CN"/>
        </w:rPr>
      </w:pPr>
      <w:r>
        <w:rPr>
          <w:rFonts w:hint="eastAsia" w:cs="宋体" w:asciiTheme="minorEastAsia" w:hAnsiTheme="minorEastAsia" w:eastAsiaTheme="minorEastAsia"/>
          <w:szCs w:val="24"/>
        </w:rPr>
        <w:t>投标人须知前附表</w:t>
      </w:r>
    </w:p>
    <w:tbl>
      <w:tblPr>
        <w:tblStyle w:val="24"/>
        <w:tblW w:w="959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3"/>
        <w:gridCol w:w="2306"/>
        <w:gridCol w:w="65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
                <w:bCs/>
                <w:spacing w:val="8"/>
                <w:szCs w:val="24"/>
              </w:rPr>
            </w:pPr>
            <w:r>
              <w:rPr>
                <w:rFonts w:hint="eastAsia" w:asciiTheme="minorEastAsia" w:hAnsiTheme="minorEastAsia" w:eastAsiaTheme="minorEastAsia"/>
                <w:b/>
                <w:bCs/>
                <w:spacing w:val="8"/>
                <w:szCs w:val="24"/>
              </w:rPr>
              <w:t>项号</w:t>
            </w:r>
          </w:p>
        </w:tc>
        <w:tc>
          <w:tcPr>
            <w:tcW w:w="2306" w:type="dxa"/>
            <w:vAlign w:val="center"/>
          </w:tcPr>
          <w:p>
            <w:pPr>
              <w:spacing w:line="360" w:lineRule="auto"/>
              <w:jc w:val="center"/>
              <w:outlineLvl w:val="0"/>
              <w:rPr>
                <w:rFonts w:asciiTheme="minorEastAsia" w:hAnsiTheme="minorEastAsia" w:eastAsiaTheme="minorEastAsia"/>
                <w:b/>
                <w:bCs/>
                <w:spacing w:val="8"/>
                <w:szCs w:val="24"/>
              </w:rPr>
            </w:pPr>
            <w:r>
              <w:rPr>
                <w:rFonts w:hint="eastAsia" w:asciiTheme="minorEastAsia" w:hAnsiTheme="minorEastAsia" w:eastAsiaTheme="minorEastAsia"/>
                <w:b/>
                <w:bCs/>
                <w:spacing w:val="8"/>
                <w:szCs w:val="24"/>
              </w:rPr>
              <w:t>内  容</w:t>
            </w:r>
          </w:p>
        </w:tc>
        <w:tc>
          <w:tcPr>
            <w:tcW w:w="6591" w:type="dxa"/>
            <w:vAlign w:val="center"/>
          </w:tcPr>
          <w:p>
            <w:pPr>
              <w:spacing w:line="360" w:lineRule="auto"/>
              <w:ind w:left="-24" w:leftChars="-10" w:right="33"/>
              <w:jc w:val="center"/>
              <w:outlineLvl w:val="0"/>
              <w:rPr>
                <w:rFonts w:asciiTheme="minorEastAsia" w:hAnsiTheme="minorEastAsia" w:eastAsiaTheme="minorEastAsia"/>
                <w:b/>
                <w:bCs/>
                <w:spacing w:val="8"/>
                <w:szCs w:val="24"/>
              </w:rPr>
            </w:pPr>
            <w:r>
              <w:rPr>
                <w:rFonts w:hint="eastAsia" w:asciiTheme="minorEastAsia" w:hAnsiTheme="minorEastAsia" w:eastAsiaTheme="minorEastAsia"/>
                <w:b/>
                <w:bCs/>
                <w:spacing w:val="8"/>
                <w:szCs w:val="24"/>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1</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招标人</w:t>
            </w:r>
          </w:p>
        </w:tc>
        <w:tc>
          <w:tcPr>
            <w:tcW w:w="6591" w:type="dxa"/>
            <w:vAlign w:val="center"/>
          </w:tcPr>
          <w:p>
            <w:pPr>
              <w:pStyle w:val="51"/>
              <w:tabs>
                <w:tab w:val="left" w:pos="6930"/>
              </w:tabs>
              <w:spacing w:line="360" w:lineRule="auto"/>
              <w:ind w:right="120" w:rightChars="50"/>
              <w:rPr>
                <w:rFonts w:asciiTheme="minorEastAsia" w:hAnsiTheme="minorEastAsia" w:eastAsiaTheme="minorEastAsia"/>
                <w:sz w:val="24"/>
                <w:lang w:val="zh-CN"/>
              </w:rPr>
            </w:pPr>
            <w:r>
              <w:rPr>
                <w:rFonts w:hint="eastAsia" w:asciiTheme="minorEastAsia" w:hAnsiTheme="minorEastAsia" w:eastAsiaTheme="minorEastAsia"/>
                <w:sz w:val="24"/>
                <w:lang w:val="zh-CN"/>
              </w:rPr>
              <w:t>名称</w:t>
            </w:r>
            <w:r>
              <w:rPr>
                <w:rFonts w:asciiTheme="minorEastAsia" w:hAnsiTheme="minorEastAsia" w:eastAsiaTheme="minorEastAsia"/>
                <w:sz w:val="24"/>
                <w:lang w:val="zh-CN"/>
              </w:rPr>
              <w:t>:</w:t>
            </w:r>
            <w:r>
              <w:rPr>
                <w:rFonts w:hint="eastAsia" w:asciiTheme="minorEastAsia" w:hAnsiTheme="minorEastAsia" w:eastAsiaTheme="minorEastAsia"/>
                <w:sz w:val="24"/>
                <w:lang w:val="zh-CN"/>
              </w:rPr>
              <w:t>新疆交通建设集团股份有限公司</w:t>
            </w:r>
          </w:p>
          <w:p>
            <w:pPr>
              <w:pStyle w:val="51"/>
              <w:tabs>
                <w:tab w:val="left" w:pos="6930"/>
              </w:tabs>
              <w:spacing w:line="360" w:lineRule="auto"/>
              <w:ind w:right="120" w:rightChars="50"/>
              <w:rPr>
                <w:rFonts w:asciiTheme="minorEastAsia" w:hAnsiTheme="minorEastAsia" w:eastAsiaTheme="minorEastAsia"/>
                <w:sz w:val="24"/>
              </w:rPr>
            </w:pPr>
            <w:r>
              <w:rPr>
                <w:rFonts w:hint="eastAsia" w:asciiTheme="minorEastAsia" w:hAnsiTheme="minorEastAsia" w:eastAsiaTheme="minorEastAsia"/>
                <w:sz w:val="24"/>
              </w:rPr>
              <w:t>详细地址：</w:t>
            </w:r>
            <w:r>
              <w:rPr>
                <w:rFonts w:hint="eastAsia" w:asciiTheme="minorEastAsia" w:hAnsiTheme="minorEastAsia" w:eastAsiaTheme="minorEastAsia"/>
              </w:rPr>
              <w:t>新疆乌鲁木齐新市区乌昌辅道840号</w:t>
            </w:r>
          </w:p>
          <w:p>
            <w:pPr>
              <w:pStyle w:val="51"/>
              <w:tabs>
                <w:tab w:val="left" w:pos="6930"/>
              </w:tabs>
              <w:spacing w:line="360" w:lineRule="auto"/>
              <w:ind w:right="120" w:rightChars="50"/>
              <w:rPr>
                <w:rFonts w:asciiTheme="minorEastAsia" w:hAnsiTheme="minorEastAsia" w:eastAsiaTheme="minorEastAsia"/>
                <w:sz w:val="24"/>
              </w:rPr>
            </w:pPr>
            <w:r>
              <w:rPr>
                <w:rFonts w:hint="eastAsia" w:asciiTheme="minorEastAsia" w:hAnsiTheme="minorEastAsia" w:eastAsiaTheme="minorEastAsia"/>
                <w:sz w:val="24"/>
              </w:rPr>
              <w:t>联系人：余向峦</w:t>
            </w:r>
          </w:p>
          <w:p>
            <w:pPr>
              <w:spacing w:line="360" w:lineRule="auto"/>
              <w:ind w:left="-24" w:leftChars="-10" w:right="33"/>
              <w:outlineLvl w:val="0"/>
              <w:rPr>
                <w:rFonts w:asciiTheme="minorEastAsia" w:hAnsiTheme="minorEastAsia" w:eastAsiaTheme="minorEastAsia"/>
                <w:bCs/>
                <w:spacing w:val="8"/>
                <w:szCs w:val="24"/>
              </w:rPr>
            </w:pPr>
            <w:r>
              <w:rPr>
                <w:rFonts w:hint="eastAsia" w:asciiTheme="minorEastAsia" w:hAnsiTheme="minorEastAsia" w:eastAsiaTheme="minorEastAsia"/>
                <w:szCs w:val="24"/>
              </w:rPr>
              <w:t>联系方式：13029669586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2</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项目名称</w:t>
            </w:r>
          </w:p>
        </w:tc>
        <w:tc>
          <w:tcPr>
            <w:tcW w:w="6591" w:type="dxa"/>
            <w:vAlign w:val="center"/>
          </w:tcPr>
          <w:p>
            <w:pPr>
              <w:tabs>
                <w:tab w:val="center" w:pos="4417"/>
                <w:tab w:val="right" w:pos="8835"/>
              </w:tabs>
              <w:spacing w:beforeLines="50" w:afterLines="100" w:line="360" w:lineRule="auto"/>
              <w:rPr>
                <w:rFonts w:asciiTheme="minorEastAsia" w:hAnsiTheme="minorEastAsia" w:eastAsiaTheme="minorEastAsia"/>
                <w:bCs/>
                <w:szCs w:val="24"/>
              </w:rPr>
            </w:pPr>
            <w:r>
              <w:rPr>
                <w:rFonts w:hint="eastAsia" w:asciiTheme="minorEastAsia" w:hAnsiTheme="minorEastAsia" w:eastAsiaTheme="minorEastAsia"/>
                <w:bCs/>
                <w:szCs w:val="24"/>
              </w:rPr>
              <w:t>新疆交通建设集团股份有限公司年度顾问咨询服务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3</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项目编号</w:t>
            </w:r>
          </w:p>
        </w:tc>
        <w:tc>
          <w:tcPr>
            <w:tcW w:w="6591" w:type="dxa"/>
            <w:vAlign w:val="center"/>
          </w:tcPr>
          <w:p>
            <w:pPr>
              <w:tabs>
                <w:tab w:val="center" w:pos="4417"/>
                <w:tab w:val="right" w:pos="8835"/>
              </w:tabs>
              <w:spacing w:beforeLines="50" w:afterLines="100" w:line="360" w:lineRule="auto"/>
              <w:rPr>
                <w:rFonts w:asciiTheme="minorEastAsia" w:hAnsiTheme="minorEastAsia" w:eastAsiaTheme="minorEastAsia"/>
                <w:bCs/>
                <w:szCs w:val="24"/>
              </w:rPr>
            </w:pPr>
            <w:r>
              <w:rPr>
                <w:rFonts w:hint="eastAsia" w:asciiTheme="minorEastAsia" w:hAnsiTheme="minorEastAsia" w:eastAsiaTheme="minorEastAsia"/>
                <w:bCs/>
                <w:szCs w:val="24"/>
              </w:rPr>
              <w:t>XJJJ202102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4</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招标内容</w:t>
            </w:r>
          </w:p>
        </w:tc>
        <w:tc>
          <w:tcPr>
            <w:tcW w:w="6591" w:type="dxa"/>
            <w:vAlign w:val="center"/>
          </w:tcPr>
          <w:p>
            <w:pPr>
              <w:spacing w:line="360" w:lineRule="auto"/>
              <w:ind w:left="-24" w:leftChars="-10" w:right="33"/>
              <w:outlineLvl w:val="0"/>
              <w:rPr>
                <w:rFonts w:asciiTheme="minorEastAsia" w:hAnsiTheme="minorEastAsia" w:eastAsiaTheme="minorEastAsia"/>
                <w:bCs/>
                <w:spacing w:val="8"/>
                <w:szCs w:val="24"/>
              </w:rPr>
            </w:pPr>
            <w:r>
              <w:rPr>
                <w:rFonts w:hint="eastAsia" w:asciiTheme="minorEastAsia" w:hAnsiTheme="minorEastAsia" w:eastAsiaTheme="minorEastAsia"/>
                <w:szCs w:val="24"/>
                <w:lang w:val="zh-CN"/>
              </w:rPr>
              <w:t>新疆交通建设集团股份有限公司年度顾问咨询服务，</w:t>
            </w:r>
            <w:r>
              <w:rPr>
                <w:rFonts w:hint="eastAsia" w:cs="宋体" w:asciiTheme="minorEastAsia" w:hAnsiTheme="minorEastAsia" w:eastAsiaTheme="minorEastAsia"/>
                <w:szCs w:val="24"/>
              </w:rPr>
              <w:t>详细的内容及要求见招标文件第三部分。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5</w:t>
            </w:r>
          </w:p>
        </w:tc>
        <w:tc>
          <w:tcPr>
            <w:tcW w:w="2306" w:type="dxa"/>
            <w:vAlign w:val="center"/>
          </w:tcPr>
          <w:p>
            <w:pPr>
              <w:spacing w:line="360" w:lineRule="auto"/>
              <w:jc w:val="center"/>
              <w:outlineLvl w:val="0"/>
              <w:rPr>
                <w:rFonts w:asciiTheme="minorEastAsia" w:hAnsiTheme="minorEastAsia" w:eastAsiaTheme="minorEastAsia"/>
                <w:bCs/>
                <w:szCs w:val="24"/>
                <w:highlight w:val="yellow"/>
              </w:rPr>
            </w:pPr>
            <w:r>
              <w:rPr>
                <w:rFonts w:hint="eastAsia" w:asciiTheme="minorEastAsia" w:hAnsiTheme="minorEastAsia" w:eastAsiaTheme="minorEastAsia"/>
                <w:bCs/>
                <w:szCs w:val="24"/>
              </w:rPr>
              <w:t>服务周期</w:t>
            </w:r>
          </w:p>
        </w:tc>
        <w:tc>
          <w:tcPr>
            <w:tcW w:w="6591" w:type="dxa"/>
            <w:vAlign w:val="center"/>
          </w:tcPr>
          <w:p>
            <w:pPr>
              <w:spacing w:line="360" w:lineRule="auto"/>
              <w:rPr>
                <w:rFonts w:asciiTheme="minorEastAsia" w:hAnsiTheme="minorEastAsia" w:eastAsiaTheme="minorEastAsia"/>
                <w:bCs/>
                <w:szCs w:val="24"/>
                <w:highlight w:val="yellow"/>
              </w:rPr>
            </w:pPr>
            <w:r>
              <w:rPr>
                <w:rFonts w:hint="eastAsia" w:asciiTheme="minorEastAsia" w:hAnsiTheme="minorEastAsia" w:eastAsiaTheme="minorEastAsia"/>
                <w:bCs/>
                <w:szCs w:val="24"/>
              </w:rPr>
              <w:t>服务周期为合同签订之日起一年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6</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质量标准</w:t>
            </w:r>
          </w:p>
        </w:tc>
        <w:tc>
          <w:tcPr>
            <w:tcW w:w="6591" w:type="dxa"/>
            <w:vAlign w:val="center"/>
          </w:tcPr>
          <w:p>
            <w:pPr>
              <w:spacing w:line="360" w:lineRule="auto"/>
              <w:ind w:right="33"/>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符合国家相关政策及采购人要求。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7</w:t>
            </w:r>
          </w:p>
        </w:tc>
        <w:tc>
          <w:tcPr>
            <w:tcW w:w="2306" w:type="dxa"/>
            <w:vAlign w:val="center"/>
          </w:tcPr>
          <w:p>
            <w:pPr>
              <w:spacing w:line="360" w:lineRule="auto"/>
              <w:ind w:left="-24" w:leftChars="-10" w:right="33"/>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投标人资格要求</w:t>
            </w:r>
          </w:p>
        </w:tc>
        <w:tc>
          <w:tcPr>
            <w:tcW w:w="6591" w:type="dxa"/>
            <w:vAlign w:val="center"/>
          </w:tcPr>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1、在中国境内注册具有独立法人资格，持有合法营业执照；</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2、具有良好的商业信誉和健全的财务会计制度，提供2019或2020年度经第三方审计机构出具的财务审计报告；</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3、具有履行合同所必需的设备和专业技术能力,提供承诺书；</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4、有依法缴纳税收和社会保障资金的良好记录，提供单位近六个月中任意三个月的税收和社保缴纳证明；</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5、参加政府采购活动前三年内，在经营活动中没有重大违法记录；</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6、投标人是全国投资项目在线审批监管平台备案的工程咨询企业；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7、投标人通过“信用中国”网站(www.creditchina.gov.cn)查询投标人“未被列入失信被执行人”、“重大税收违法案件当事人名单”等相关主体信用记录；（提供查询结果网页截图并加盖投标人公章）；</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8、本项目不允许联合体参与投标。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8</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投标有效期</w:t>
            </w:r>
          </w:p>
        </w:tc>
        <w:tc>
          <w:tcPr>
            <w:tcW w:w="6591" w:type="dxa"/>
            <w:vAlign w:val="center"/>
          </w:tcPr>
          <w:p>
            <w:pPr>
              <w:spacing w:line="360" w:lineRule="auto"/>
              <w:ind w:left="-24" w:leftChars="-10" w:right="33"/>
              <w:outlineLvl w:val="0"/>
              <w:rPr>
                <w:rFonts w:asciiTheme="minorEastAsia" w:hAnsiTheme="minorEastAsia" w:eastAsiaTheme="minorEastAsia"/>
                <w:szCs w:val="24"/>
              </w:rPr>
            </w:pPr>
            <w:r>
              <w:rPr>
                <w:rFonts w:hint="eastAsia" w:asciiTheme="minorEastAsia" w:hAnsiTheme="minorEastAsia" w:eastAsiaTheme="minorEastAsia"/>
                <w:szCs w:val="24"/>
              </w:rPr>
              <w:t>90天（从投标截止之日算起）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9</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投标文件份数</w:t>
            </w:r>
          </w:p>
        </w:tc>
        <w:tc>
          <w:tcPr>
            <w:tcW w:w="6591" w:type="dxa"/>
            <w:vAlign w:val="center"/>
          </w:tcPr>
          <w:p>
            <w:pPr>
              <w:spacing w:line="360" w:lineRule="auto"/>
              <w:ind w:left="-24" w:leftChars="-10" w:right="33"/>
              <w:outlineLvl w:val="0"/>
              <w:rPr>
                <w:rFonts w:asciiTheme="minorEastAsia" w:hAnsiTheme="minorEastAsia" w:eastAsiaTheme="minorEastAsia"/>
                <w:szCs w:val="24"/>
              </w:rPr>
            </w:pPr>
            <w:r>
              <w:rPr>
                <w:rFonts w:hint="eastAsia" w:asciiTheme="minorEastAsia" w:hAnsiTheme="minorEastAsia" w:eastAsiaTheme="minorEastAsia"/>
                <w:szCs w:val="24"/>
              </w:rPr>
              <w:t>正本一份，副本二份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8"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10</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投标文件递交截止时间及投标文件递交地点</w:t>
            </w:r>
          </w:p>
        </w:tc>
        <w:tc>
          <w:tcPr>
            <w:tcW w:w="6591" w:type="dxa"/>
            <w:vAlign w:val="center"/>
          </w:tcPr>
          <w:p>
            <w:pPr>
              <w:spacing w:line="360" w:lineRule="auto"/>
              <w:ind w:left="-24" w:leftChars="-10" w:right="33"/>
              <w:outlineLvl w:val="0"/>
              <w:rPr>
                <w:rFonts w:asciiTheme="minorEastAsia" w:hAnsiTheme="minorEastAsia" w:eastAsiaTheme="minorEastAsia"/>
                <w:szCs w:val="24"/>
              </w:rPr>
            </w:pPr>
            <w:r>
              <w:rPr>
                <w:rFonts w:hint="eastAsia" w:asciiTheme="minorEastAsia" w:hAnsiTheme="minorEastAsia" w:eastAsiaTheme="minorEastAsia"/>
                <w:szCs w:val="24"/>
              </w:rPr>
              <w:t>同开标时间及地点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10</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开标时间及地点</w:t>
            </w:r>
          </w:p>
        </w:tc>
        <w:tc>
          <w:tcPr>
            <w:tcW w:w="6591" w:type="dxa"/>
            <w:vAlign w:val="center"/>
          </w:tcPr>
          <w:p>
            <w:pPr>
              <w:spacing w:line="360" w:lineRule="auto"/>
              <w:ind w:left="-24" w:leftChars="-10" w:right="33"/>
              <w:outlineLvl w:val="0"/>
              <w:rPr>
                <w:rFonts w:asciiTheme="minorEastAsia" w:hAnsiTheme="minorEastAsia" w:eastAsiaTheme="minorEastAsia"/>
                <w:szCs w:val="24"/>
              </w:rPr>
            </w:pPr>
            <w:r>
              <w:rPr>
                <w:rFonts w:hint="eastAsia" w:asciiTheme="minorEastAsia" w:hAnsiTheme="minorEastAsia" w:eastAsiaTheme="minorEastAsia"/>
                <w:szCs w:val="24"/>
              </w:rPr>
              <w:t>时间：</w:t>
            </w:r>
            <w:r>
              <w:rPr>
                <w:rFonts w:hint="eastAsia" w:asciiTheme="minorEastAsia" w:hAnsiTheme="minorEastAsia" w:eastAsiaTheme="minorEastAsia"/>
              </w:rPr>
              <w:t>2021年4月14日上午11点（北京时间）</w:t>
            </w:r>
          </w:p>
          <w:p>
            <w:pPr>
              <w:spacing w:line="360" w:lineRule="auto"/>
              <w:ind w:left="-24" w:leftChars="-10" w:right="33"/>
              <w:outlineLvl w:val="0"/>
              <w:rPr>
                <w:rFonts w:asciiTheme="minorEastAsia" w:hAnsiTheme="minorEastAsia" w:eastAsiaTheme="minorEastAsia"/>
                <w:szCs w:val="24"/>
                <w:highlight w:val="yellow"/>
              </w:rPr>
            </w:pPr>
            <w:r>
              <w:rPr>
                <w:rFonts w:hint="eastAsia" w:asciiTheme="minorEastAsia" w:hAnsiTheme="minorEastAsia" w:eastAsiaTheme="minorEastAsia"/>
                <w:szCs w:val="24"/>
              </w:rPr>
              <w:t>地点：</w:t>
            </w:r>
            <w:r>
              <w:rPr>
                <w:rFonts w:hint="eastAsia" w:asciiTheme="minorEastAsia" w:hAnsiTheme="minorEastAsia" w:eastAsiaTheme="minorEastAsia"/>
              </w:rPr>
              <w:t>研发楼一楼会议室（新疆交通建设集团股份有限公司）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693" w:type="dxa"/>
            <w:vAlign w:val="center"/>
          </w:tcPr>
          <w:p>
            <w:pPr>
              <w:spacing w:line="360" w:lineRule="auto"/>
              <w:ind w:right="-108"/>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13</w:t>
            </w:r>
          </w:p>
        </w:tc>
        <w:tc>
          <w:tcPr>
            <w:tcW w:w="2306" w:type="dxa"/>
            <w:vAlign w:val="center"/>
          </w:tcPr>
          <w:p>
            <w:pPr>
              <w:spacing w:line="360" w:lineRule="auto"/>
              <w:jc w:val="center"/>
              <w:outlineLvl w:val="0"/>
              <w:rPr>
                <w:rFonts w:asciiTheme="minorEastAsia" w:hAnsiTheme="minorEastAsia" w:eastAsiaTheme="minorEastAsia"/>
                <w:bCs/>
                <w:spacing w:val="8"/>
                <w:szCs w:val="24"/>
              </w:rPr>
            </w:pPr>
            <w:r>
              <w:rPr>
                <w:rFonts w:hint="eastAsia" w:asciiTheme="minorEastAsia" w:hAnsiTheme="minorEastAsia" w:eastAsiaTheme="minorEastAsia"/>
                <w:bCs/>
                <w:spacing w:val="8"/>
                <w:szCs w:val="24"/>
              </w:rPr>
              <w:t>评标方法及标准</w:t>
            </w:r>
          </w:p>
        </w:tc>
        <w:tc>
          <w:tcPr>
            <w:tcW w:w="6591" w:type="dxa"/>
            <w:vAlign w:val="center"/>
          </w:tcPr>
          <w:p>
            <w:pPr>
              <w:spacing w:line="360" w:lineRule="auto"/>
              <w:ind w:left="-24" w:leftChars="-10" w:right="33"/>
              <w:outlineLvl w:val="0"/>
              <w:rPr>
                <w:rFonts w:asciiTheme="minorEastAsia" w:hAnsiTheme="minorEastAsia" w:eastAsiaTheme="minorEastAsia"/>
                <w:szCs w:val="24"/>
              </w:rPr>
            </w:pPr>
            <w:r>
              <w:rPr>
                <w:rFonts w:hint="eastAsia" w:asciiTheme="minorEastAsia" w:hAnsiTheme="minorEastAsia" w:eastAsiaTheme="minorEastAsia"/>
                <w:szCs w:val="24"/>
              </w:rPr>
              <w:t>详见招标文件第四部分</w:t>
            </w:r>
          </w:p>
        </w:tc>
      </w:tr>
    </w:tbl>
    <w:p>
      <w:pPr>
        <w:rPr>
          <w:rFonts w:asciiTheme="minorEastAsia" w:hAnsiTheme="minorEastAsia" w:eastAsiaTheme="minorEastAsia"/>
        </w:rPr>
      </w:pPr>
    </w:p>
    <w:p>
      <w:pPr>
        <w:widowControl/>
        <w:jc w:val="left"/>
        <w:rPr>
          <w:rFonts w:cs="宋体" w:asciiTheme="minorEastAsia" w:hAnsiTheme="minorEastAsia" w:eastAsiaTheme="minorEastAsia"/>
          <w:szCs w:val="24"/>
          <w:lang w:val="zh-CN"/>
        </w:rPr>
      </w:pPr>
      <w:r>
        <w:rPr>
          <w:rFonts w:cs="宋体" w:asciiTheme="minorEastAsia" w:hAnsiTheme="minorEastAsia" w:eastAsiaTheme="minorEastAsia"/>
          <w:szCs w:val="24"/>
          <w:lang w:val="zh-CN"/>
        </w:rPr>
        <w:br w:type="page"/>
      </w:r>
    </w:p>
    <w:p>
      <w:pPr>
        <w:autoSpaceDE w:val="0"/>
        <w:autoSpaceDN w:val="0"/>
        <w:adjustRightInd w:val="0"/>
        <w:spacing w:line="440" w:lineRule="exact"/>
        <w:jc w:val="center"/>
        <w:rPr>
          <w:rFonts w:asciiTheme="minorEastAsia" w:hAnsiTheme="minorEastAsia" w:eastAsiaTheme="minorEastAsia"/>
          <w:b/>
          <w:bCs/>
          <w:szCs w:val="24"/>
          <w:lang w:val="zh-CN"/>
        </w:rPr>
      </w:pPr>
      <w:r>
        <w:rPr>
          <w:rFonts w:hint="eastAsia" w:cs="宋体" w:asciiTheme="minorEastAsia" w:hAnsiTheme="minorEastAsia" w:eastAsiaTheme="minorEastAsia"/>
          <w:szCs w:val="24"/>
          <w:lang w:val="zh-CN"/>
        </w:rPr>
        <w:t>（一）</w:t>
      </w:r>
      <w:r>
        <w:rPr>
          <w:rFonts w:hint="eastAsia" w:cs="宋体" w:asciiTheme="minorEastAsia" w:hAnsiTheme="minorEastAsia" w:eastAsiaTheme="minorEastAsia"/>
          <w:b/>
          <w:bCs/>
          <w:szCs w:val="24"/>
          <w:lang w:val="zh-CN"/>
        </w:rPr>
        <w:t>总则</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1</w:t>
      </w:r>
      <w:r>
        <w:rPr>
          <w:rFonts w:hint="eastAsia" w:asciiTheme="minorEastAsia" w:hAnsiTheme="minorEastAsia" w:eastAsiaTheme="minorEastAsia"/>
          <w:lang w:val="zh-CN"/>
        </w:rPr>
        <w:t>.项目说明</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 xml:space="preserve">1.1  </w:t>
      </w:r>
      <w:r>
        <w:rPr>
          <w:rFonts w:hint="eastAsia" w:cs="宋体" w:asciiTheme="minorEastAsia" w:hAnsiTheme="minorEastAsia" w:eastAsiaTheme="minorEastAsia"/>
          <w:szCs w:val="24"/>
          <w:lang w:val="zh-CN"/>
        </w:rPr>
        <w:t>本招标文件只适用于本次招标中所述的</w:t>
      </w:r>
      <w:r>
        <w:rPr>
          <w:rFonts w:hint="eastAsia" w:asciiTheme="minorEastAsia" w:hAnsiTheme="minorEastAsia" w:eastAsiaTheme="minorEastAsia"/>
          <w:bCs/>
        </w:rPr>
        <w:t>新疆交通建设集团股份有限公司年度顾问咨询服务</w:t>
      </w:r>
      <w:r>
        <w:rPr>
          <w:rFonts w:hint="eastAsia" w:cs="宋体" w:asciiTheme="minorEastAsia" w:hAnsiTheme="minorEastAsia" w:eastAsiaTheme="minorEastAsia"/>
          <w:bCs/>
          <w:szCs w:val="24"/>
        </w:rPr>
        <w:t>招标</w:t>
      </w:r>
      <w:r>
        <w:rPr>
          <w:rFonts w:hint="eastAsia" w:cs="宋体" w:asciiTheme="minorEastAsia" w:hAnsiTheme="minorEastAsia" w:eastAsiaTheme="minorEastAsia"/>
          <w:szCs w:val="24"/>
          <w:lang w:val="zh-CN"/>
        </w:rPr>
        <w:t>。</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1.2</w:t>
      </w:r>
      <w:r>
        <w:rPr>
          <w:rFonts w:hint="eastAsia" w:cs="宋体" w:asciiTheme="minorEastAsia" w:hAnsiTheme="minorEastAsia" w:eastAsiaTheme="minorEastAsia"/>
          <w:szCs w:val="24"/>
          <w:lang w:val="zh-CN"/>
        </w:rPr>
        <w:t xml:space="preserve">  本招标项目按照《中华人民共和国招标投标法》、《中华人民共和国招标投标法实施条例》等有关法律、法规和部门规章，通过招标方式选定</w:t>
      </w:r>
      <w:r>
        <w:rPr>
          <w:rFonts w:hint="eastAsia" w:cs="宋体" w:asciiTheme="minorEastAsia" w:hAnsiTheme="minorEastAsia" w:eastAsiaTheme="minorEastAsia"/>
          <w:szCs w:val="24"/>
        </w:rPr>
        <w:t>咨询机构</w:t>
      </w:r>
      <w:r>
        <w:rPr>
          <w:rFonts w:hint="eastAsia" w:cs="宋体" w:asciiTheme="minorEastAsia" w:hAnsiTheme="minorEastAsia" w:eastAsiaTheme="minorEastAsia"/>
          <w:szCs w:val="24"/>
          <w:lang w:val="zh-CN"/>
        </w:rPr>
        <w:t>。</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2. </w:t>
      </w:r>
      <w:r>
        <w:rPr>
          <w:rFonts w:hint="eastAsia" w:asciiTheme="minorEastAsia" w:hAnsiTheme="minorEastAsia" w:eastAsiaTheme="minorEastAsia"/>
          <w:lang w:val="zh-CN"/>
        </w:rPr>
        <w:t>投标人资格要求：</w:t>
      </w:r>
    </w:p>
    <w:p>
      <w:pPr>
        <w:autoSpaceDE w:val="0"/>
        <w:autoSpaceDN w:val="0"/>
        <w:adjustRightInd w:val="0"/>
        <w:spacing w:line="440" w:lineRule="exact"/>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 xml:space="preserve">   符合“第一部分招标公告”资格要求。</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3. </w:t>
      </w:r>
      <w:r>
        <w:rPr>
          <w:rFonts w:hint="eastAsia" w:asciiTheme="minorEastAsia" w:hAnsiTheme="minorEastAsia" w:eastAsiaTheme="minorEastAsia"/>
          <w:lang w:val="zh-CN"/>
        </w:rPr>
        <w:t>投标费用</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投标人应承担所有参与投标的相关费用，无论投标过程的做法和结果如何，招标人在任何情况下均无义务和责任承担这些费用。</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4. </w:t>
      </w:r>
      <w:r>
        <w:rPr>
          <w:rFonts w:hint="eastAsia" w:asciiTheme="minorEastAsia" w:hAnsiTheme="minorEastAsia" w:eastAsiaTheme="minorEastAsia"/>
          <w:lang w:val="zh-CN"/>
        </w:rPr>
        <w:t>联合体投标：</w:t>
      </w:r>
    </w:p>
    <w:p>
      <w:pPr>
        <w:autoSpaceDE w:val="0"/>
        <w:autoSpaceDN w:val="0"/>
        <w:adjustRightInd w:val="0"/>
        <w:spacing w:line="440" w:lineRule="exact"/>
        <w:ind w:firstLine="480" w:firstLineChars="200"/>
        <w:rPr>
          <w:rFonts w:asciiTheme="minorEastAsia" w:hAnsiTheme="minorEastAsia" w:eastAsiaTheme="minorEastAsia"/>
          <w:lang w:val="zh-CN"/>
        </w:rPr>
      </w:pPr>
      <w:r>
        <w:rPr>
          <w:rFonts w:hint="eastAsia" w:cs="宋体" w:asciiTheme="minorEastAsia" w:hAnsiTheme="minorEastAsia" w:eastAsiaTheme="minorEastAsia"/>
          <w:szCs w:val="24"/>
          <w:lang w:val="zh-CN"/>
        </w:rPr>
        <w:t>本项目不接受联合体投标。</w:t>
      </w:r>
    </w:p>
    <w:p>
      <w:pPr>
        <w:autoSpaceDE w:val="0"/>
        <w:autoSpaceDN w:val="0"/>
        <w:adjustRightInd w:val="0"/>
        <w:spacing w:line="440" w:lineRule="exact"/>
        <w:jc w:val="center"/>
        <w:rPr>
          <w:rFonts w:asciiTheme="minorEastAsia" w:hAnsiTheme="minorEastAsia" w:eastAsiaTheme="minorEastAsia"/>
          <w:lang w:val="zh-CN"/>
        </w:rPr>
      </w:pPr>
      <w:r>
        <w:rPr>
          <w:rFonts w:hint="eastAsia" w:cs="宋体" w:asciiTheme="minorEastAsia" w:hAnsiTheme="minorEastAsia" w:eastAsiaTheme="minorEastAsia"/>
          <w:b/>
          <w:bCs/>
          <w:sz w:val="28"/>
          <w:szCs w:val="28"/>
          <w:lang w:val="zh-CN"/>
        </w:rPr>
        <w:t>（二）招标文件</w:t>
      </w:r>
    </w:p>
    <w:p>
      <w:pPr>
        <w:pStyle w:val="5"/>
        <w:numPr>
          <w:ilvl w:val="0"/>
          <w:numId w:val="0"/>
        </w:numPr>
        <w:spacing w:before="240"/>
        <w:ind w:left="862" w:hanging="862"/>
        <w:rPr>
          <w:rFonts w:asciiTheme="minorEastAsia" w:hAnsiTheme="minorEastAsia" w:eastAsiaTheme="minorEastAsia"/>
          <w:lang w:val="zh-CN"/>
        </w:rPr>
      </w:pPr>
      <w:r>
        <w:rPr>
          <w:rFonts w:hint="eastAsia" w:asciiTheme="minorEastAsia" w:hAnsiTheme="minorEastAsia" w:eastAsiaTheme="minorEastAsia"/>
          <w:lang w:val="zh-CN"/>
        </w:rPr>
        <w:t>5. 招标文件由目录所列内容组成</w:t>
      </w:r>
    </w:p>
    <w:p>
      <w:pPr>
        <w:pStyle w:val="5"/>
        <w:numPr>
          <w:ilvl w:val="0"/>
          <w:numId w:val="0"/>
        </w:numPr>
        <w:spacing w:before="240"/>
        <w:ind w:left="862" w:hanging="862"/>
        <w:rPr>
          <w:rFonts w:asciiTheme="minorEastAsia" w:hAnsiTheme="minorEastAsia" w:eastAsiaTheme="minorEastAsia"/>
          <w:lang w:val="zh-CN"/>
        </w:rPr>
      </w:pPr>
      <w:r>
        <w:rPr>
          <w:rFonts w:hint="eastAsia" w:asciiTheme="minorEastAsia" w:hAnsiTheme="minorEastAsia" w:eastAsiaTheme="minorEastAsia"/>
          <w:lang w:val="zh-CN"/>
        </w:rPr>
        <w:t>6. 招标文件的澄清和修改</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6.</w:t>
      </w:r>
      <w:r>
        <w:rPr>
          <w:rFonts w:hint="eastAsia" w:cs="宋体" w:asciiTheme="minorEastAsia" w:hAnsiTheme="minorEastAsia" w:eastAsiaTheme="minorEastAsia"/>
          <w:szCs w:val="24"/>
          <w:lang w:val="zh-CN"/>
        </w:rPr>
        <w:t>1因投标人对招标文件提出疑问，有需对招标文件进行澄清或修改的，应于投标截止时间3天前以书面形式通知到所有投标人，该澄清或修改的内容是招标文件的有效组成部分。投标人应在投标截止时间3天前以书面形式对招标文件提出疑问。</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6.</w:t>
      </w:r>
      <w:r>
        <w:rPr>
          <w:rFonts w:hint="eastAsia" w:cs="宋体" w:asciiTheme="minorEastAsia" w:hAnsiTheme="minorEastAsia" w:eastAsiaTheme="minorEastAsia"/>
          <w:szCs w:val="24"/>
          <w:lang w:val="zh-CN"/>
        </w:rPr>
        <w:t>2招标文件的澄清、修改、补充等均要求以书面形式明确的内容为准。当招标文件和招标文件的澄清、修改、补充等在同一内容的表述上不一致时，以最后发出的书面文件为准。招标文件的修改或补充通知等将构成招标文件的一部分，对投标人有约束力。</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7</w:t>
      </w:r>
      <w:r>
        <w:rPr>
          <w:rFonts w:hint="eastAsia" w:asciiTheme="minorEastAsia" w:hAnsiTheme="minorEastAsia" w:eastAsiaTheme="minorEastAsia"/>
          <w:lang w:val="zh-CN"/>
        </w:rPr>
        <w:t>.招标时间及地点的变更</w:t>
      </w:r>
    </w:p>
    <w:p>
      <w:pPr>
        <w:autoSpaceDE w:val="0"/>
        <w:autoSpaceDN w:val="0"/>
        <w:adjustRightInd w:val="0"/>
        <w:spacing w:line="440" w:lineRule="exact"/>
        <w:ind w:firstLine="480" w:firstLineChars="200"/>
        <w:rPr>
          <w:rFonts w:asciiTheme="minorEastAsia" w:hAnsiTheme="minorEastAsia" w:eastAsiaTheme="minorEastAsia"/>
          <w:lang w:val="zh-CN"/>
        </w:rPr>
      </w:pPr>
      <w:r>
        <w:rPr>
          <w:rFonts w:hint="eastAsia" w:cs="宋体" w:asciiTheme="minorEastAsia" w:hAnsiTheme="minorEastAsia" w:eastAsiaTheme="minorEastAsia"/>
          <w:szCs w:val="24"/>
          <w:lang w:val="zh-CN"/>
        </w:rPr>
        <w:t>招标人可以视招标具体情况，变更投标截止时间和开标时间，但至少应在招标文件要求提交投标文件的截止时间</w:t>
      </w: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日前将变更时间以书面形式通知所有投标人。</w:t>
      </w:r>
    </w:p>
    <w:p>
      <w:pPr>
        <w:autoSpaceDE w:val="0"/>
        <w:autoSpaceDN w:val="0"/>
        <w:adjustRightInd w:val="0"/>
        <w:spacing w:line="440" w:lineRule="exact"/>
        <w:jc w:val="center"/>
        <w:rPr>
          <w:rFonts w:asciiTheme="minorEastAsia" w:hAnsiTheme="minorEastAsia" w:eastAsiaTheme="minorEastAsia"/>
          <w:lang w:val="zh-CN"/>
        </w:rPr>
      </w:pPr>
      <w:r>
        <w:rPr>
          <w:rFonts w:hint="eastAsia" w:cs="宋体" w:asciiTheme="minorEastAsia" w:hAnsiTheme="minorEastAsia" w:eastAsiaTheme="minorEastAsia"/>
          <w:b/>
          <w:bCs/>
          <w:sz w:val="28"/>
          <w:szCs w:val="28"/>
          <w:lang w:val="zh-CN"/>
        </w:rPr>
        <w:t>（三）投标文件的编写</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8. </w:t>
      </w:r>
      <w:r>
        <w:rPr>
          <w:rFonts w:hint="eastAsia" w:asciiTheme="minorEastAsia" w:hAnsiTheme="minorEastAsia" w:eastAsiaTheme="minorEastAsia"/>
          <w:lang w:val="zh-CN"/>
        </w:rPr>
        <w:t>投标要求</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投标人应详细阅读招标文件全部内容，按招标文件的要求提供投标文件，并保证所提供的全部资料的真实性。如投标人的投标文件不能满足本招标文件的要求，责任由投标人自行负责。不符合招标文件要求的投标文件资料，可能导致投标被拒绝。</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投标人在投标文件中应说明是否完全响应招标文件所附合同的条款，如不完全响应，视为无效投标。</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9. </w:t>
      </w:r>
      <w:r>
        <w:rPr>
          <w:rFonts w:hint="eastAsia" w:asciiTheme="minorEastAsia" w:hAnsiTheme="minorEastAsia" w:eastAsiaTheme="minorEastAsia"/>
          <w:lang w:val="zh-CN"/>
        </w:rPr>
        <w:t>投标语言及计量单位</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 xml:space="preserve">9.1 </w:t>
      </w:r>
      <w:r>
        <w:rPr>
          <w:rFonts w:hint="eastAsia" w:cs="宋体" w:asciiTheme="minorEastAsia" w:hAnsiTheme="minorEastAsia" w:eastAsiaTheme="minorEastAsia"/>
          <w:szCs w:val="24"/>
          <w:lang w:val="zh-CN"/>
        </w:rPr>
        <w:t>所有与投标文件有关的资料、文件均应以中文书写；</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 xml:space="preserve">9.2 </w:t>
      </w:r>
      <w:r>
        <w:rPr>
          <w:rFonts w:hint="eastAsia" w:cs="宋体" w:asciiTheme="minorEastAsia" w:hAnsiTheme="minorEastAsia" w:eastAsiaTheme="minorEastAsia"/>
          <w:szCs w:val="24"/>
          <w:lang w:val="zh-CN"/>
        </w:rPr>
        <w:t>投标文件中所使用的计量单位，除招标文件另有规定外，均采用中华人民共和国法定计量单位。</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10. </w:t>
      </w:r>
      <w:r>
        <w:rPr>
          <w:rFonts w:hint="eastAsia" w:asciiTheme="minorEastAsia" w:hAnsiTheme="minorEastAsia" w:eastAsiaTheme="minorEastAsia"/>
          <w:lang w:val="zh-CN"/>
        </w:rPr>
        <w:t>投标文件的组成</w:t>
      </w:r>
    </w:p>
    <w:p>
      <w:pPr>
        <w:autoSpaceDE w:val="0"/>
        <w:autoSpaceDN w:val="0"/>
        <w:adjustRightInd w:val="0"/>
        <w:spacing w:line="440" w:lineRule="exact"/>
        <w:ind w:firstLine="480" w:firstLineChars="200"/>
        <w:rPr>
          <w:rFonts w:asciiTheme="minorEastAsia" w:hAnsiTheme="minorEastAsia" w:eastAsiaTheme="minorEastAsia"/>
          <w:bCs/>
          <w:szCs w:val="24"/>
          <w:lang w:val="zh-CN"/>
        </w:rPr>
      </w:pPr>
      <w:r>
        <w:rPr>
          <w:rFonts w:hint="eastAsia" w:cs="宋体" w:asciiTheme="minorEastAsia" w:hAnsiTheme="minorEastAsia" w:eastAsiaTheme="minorEastAsia"/>
          <w:bCs/>
          <w:szCs w:val="24"/>
          <w:lang w:val="zh-CN"/>
        </w:rPr>
        <w:t>详见招标文件第五部分</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11. </w:t>
      </w:r>
      <w:r>
        <w:rPr>
          <w:rFonts w:hint="eastAsia" w:asciiTheme="minorEastAsia" w:hAnsiTheme="minorEastAsia" w:eastAsiaTheme="minorEastAsia"/>
          <w:lang w:val="zh-CN"/>
        </w:rPr>
        <w:t>投标文件格式：</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11.1</w:t>
      </w:r>
      <w:r>
        <w:rPr>
          <w:rFonts w:hint="eastAsia" w:cs="宋体" w:asciiTheme="minorEastAsia" w:hAnsiTheme="minorEastAsia" w:eastAsiaTheme="minorEastAsia"/>
          <w:szCs w:val="24"/>
          <w:lang w:val="zh-CN"/>
        </w:rPr>
        <w:t xml:space="preserve"> 投标文件全部采用</w:t>
      </w:r>
      <w:r>
        <w:rPr>
          <w:rFonts w:cs="宋体" w:asciiTheme="minorEastAsia" w:hAnsiTheme="minorEastAsia" w:eastAsiaTheme="minorEastAsia"/>
          <w:szCs w:val="24"/>
          <w:lang w:val="zh-CN"/>
        </w:rPr>
        <w:t>A4</w:t>
      </w:r>
      <w:r>
        <w:rPr>
          <w:rFonts w:hint="eastAsia" w:cs="宋体" w:asciiTheme="minorEastAsia" w:hAnsiTheme="minorEastAsia" w:eastAsiaTheme="minorEastAsia"/>
          <w:szCs w:val="24"/>
          <w:lang w:val="zh-CN"/>
        </w:rPr>
        <w:t>纸张统一用中文打印并装订成册，活页（含抽夹卡扣）无效；</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11.2</w:t>
      </w:r>
      <w:r>
        <w:rPr>
          <w:rFonts w:hint="eastAsia" w:cs="宋体" w:asciiTheme="minorEastAsia" w:hAnsiTheme="minorEastAsia" w:eastAsiaTheme="minorEastAsia"/>
          <w:szCs w:val="24"/>
          <w:lang w:val="zh-CN"/>
        </w:rPr>
        <w:t xml:space="preserve"> 投标人应按照招标文件提供的投标文件格式和顺序进行装订，但也可以按同样格式扩展。</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 xml:space="preserve">12. </w:t>
      </w:r>
      <w:r>
        <w:rPr>
          <w:rFonts w:hint="eastAsia" w:asciiTheme="minorEastAsia" w:hAnsiTheme="minorEastAsia" w:eastAsiaTheme="minorEastAsia"/>
          <w:lang w:val="zh-CN"/>
        </w:rPr>
        <w:t>投标货币与投标单位</w:t>
      </w:r>
    </w:p>
    <w:p>
      <w:pPr>
        <w:autoSpaceDE w:val="0"/>
        <w:autoSpaceDN w:val="0"/>
        <w:adjustRightInd w:val="0"/>
        <w:spacing w:line="440" w:lineRule="exact"/>
        <w:ind w:left="480" w:leftChars="200"/>
        <w:rPr>
          <w:rFonts w:asciiTheme="minorEastAsia" w:hAnsiTheme="minorEastAsia" w:eastAsiaTheme="minorEastAsia"/>
          <w:szCs w:val="24"/>
          <w:lang w:val="zh-CN"/>
        </w:rPr>
      </w:pPr>
      <w:r>
        <w:rPr>
          <w:rFonts w:hint="eastAsia" w:cs="宋体" w:asciiTheme="minorEastAsia" w:hAnsiTheme="minorEastAsia" w:eastAsiaTheme="minorEastAsia"/>
          <w:szCs w:val="24"/>
          <w:lang w:val="zh-CN"/>
        </w:rPr>
        <w:t>投标函、开标一览表的报价一律用人民币填写，单位为：元。</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13.</w:t>
      </w:r>
      <w:r>
        <w:rPr>
          <w:rFonts w:hint="eastAsia" w:asciiTheme="minorEastAsia" w:hAnsiTheme="minorEastAsia" w:eastAsiaTheme="minorEastAsia"/>
          <w:lang w:val="zh-CN"/>
        </w:rPr>
        <w:t xml:space="preserve"> 投标报价及支付方式</w:t>
      </w:r>
    </w:p>
    <w:p>
      <w:pPr>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3</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1 投标报价：</w:t>
      </w:r>
      <w:r>
        <w:rPr>
          <w:rFonts w:hint="eastAsia" w:cs="宋体" w:asciiTheme="minorEastAsia" w:hAnsiTheme="minorEastAsia" w:eastAsiaTheme="minorEastAsia"/>
          <w:szCs w:val="24"/>
        </w:rPr>
        <w:t>按照基础咨询服务和投顾服务两部分分别报价。</w:t>
      </w:r>
    </w:p>
    <w:p>
      <w:pPr>
        <w:spacing w:line="440" w:lineRule="exact"/>
        <w:ind w:firstLine="480" w:firstLineChars="200"/>
        <w:rPr>
          <w:rFonts w:cs="宋体" w:asciiTheme="minorEastAsia" w:hAnsiTheme="minorEastAsia" w:eastAsiaTheme="minorEastAsia"/>
          <w:szCs w:val="24"/>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3</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2 投标报价方式：</w:t>
      </w:r>
      <w:r>
        <w:rPr>
          <w:rFonts w:hint="eastAsia" w:cs="宋体" w:asciiTheme="minorEastAsia" w:hAnsiTheme="minorEastAsia" w:eastAsiaTheme="minorEastAsia"/>
          <w:szCs w:val="24"/>
        </w:rPr>
        <w:t>基础咨询服务</w:t>
      </w:r>
      <w:r>
        <w:rPr>
          <w:rFonts w:hint="eastAsia" w:cs="宋体" w:asciiTheme="minorEastAsia" w:hAnsiTheme="minorEastAsia" w:eastAsiaTheme="minorEastAsia"/>
          <w:szCs w:val="24"/>
          <w:lang w:val="zh-CN"/>
        </w:rPr>
        <w:t>采用固定总价方式报价；</w:t>
      </w:r>
      <w:r>
        <w:rPr>
          <w:rFonts w:hint="eastAsia" w:cs="宋体" w:asciiTheme="minorEastAsia" w:hAnsiTheme="minorEastAsia" w:eastAsiaTheme="minorEastAsia"/>
          <w:szCs w:val="24"/>
        </w:rPr>
        <w:t>投顾服务采用对单个项目咨询服务费下限、上限和咨询服务费率（单个项目总投资额为计算基数）方式报价。</w:t>
      </w:r>
    </w:p>
    <w:p>
      <w:pPr>
        <w:spacing w:line="440" w:lineRule="exact"/>
        <w:ind w:firstLine="482" w:firstLineChars="200"/>
        <w:rPr>
          <w:rFonts w:cs="宋体" w:asciiTheme="minorEastAsia" w:hAnsiTheme="minorEastAsia" w:eastAsiaTheme="minorEastAsia"/>
          <w:b/>
          <w:szCs w:val="24"/>
        </w:rPr>
      </w:pPr>
      <w:r>
        <w:rPr>
          <w:rFonts w:hint="eastAsia" w:cs="宋体" w:asciiTheme="minorEastAsia" w:hAnsiTheme="minorEastAsia" w:eastAsiaTheme="minorEastAsia"/>
          <w:b/>
          <w:szCs w:val="24"/>
        </w:rPr>
        <w:t>基础咨询服务的年咨询服务费报价不得高于柒拾万元（高于此金额的视为无效报价）。</w:t>
      </w:r>
    </w:p>
    <w:p>
      <w:pPr>
        <w:spacing w:line="440" w:lineRule="exact"/>
        <w:ind w:firstLine="480" w:firstLineChars="200"/>
        <w:rPr>
          <w:rFonts w:cs="宋体" w:asciiTheme="minorEastAsia" w:hAnsiTheme="minorEastAsia" w:eastAsiaTheme="minorEastAsia"/>
          <w:b/>
          <w:szCs w:val="24"/>
        </w:rPr>
      </w:pPr>
      <w:r>
        <w:rPr>
          <w:rFonts w:hint="eastAsia" w:cs="宋体" w:asciiTheme="minorEastAsia" w:hAnsiTheme="minorEastAsia" w:eastAsiaTheme="minorEastAsia"/>
          <w:szCs w:val="24"/>
        </w:rPr>
        <w:t>单个项目的投顾服务费的计算方法为：该项目的签约总投资额和投顾服务费率的乘积。</w:t>
      </w:r>
      <w:r>
        <w:rPr>
          <w:rFonts w:hint="eastAsia" w:cs="宋体" w:asciiTheme="minorEastAsia" w:hAnsiTheme="minorEastAsia" w:eastAsiaTheme="minorEastAsia"/>
          <w:b/>
          <w:szCs w:val="24"/>
        </w:rPr>
        <w:t>投顾服务费率报价不得高于万分之壹点壹（高于此比率的视为无效报价）。</w:t>
      </w:r>
    </w:p>
    <w:p>
      <w:pPr>
        <w:spacing w:line="440" w:lineRule="exact"/>
        <w:ind w:firstLine="480" w:firstLineChars="200"/>
        <w:rPr>
          <w:rFonts w:cs="宋体" w:asciiTheme="minorEastAsia" w:hAnsiTheme="minorEastAsia" w:eastAsiaTheme="minorEastAsia"/>
          <w:b/>
          <w:szCs w:val="24"/>
        </w:rPr>
      </w:pPr>
      <w:r>
        <w:rPr>
          <w:rFonts w:hint="eastAsia" w:cs="宋体" w:asciiTheme="minorEastAsia" w:hAnsiTheme="minorEastAsia" w:eastAsiaTheme="minorEastAsia"/>
          <w:szCs w:val="24"/>
        </w:rPr>
        <w:t>当按照上述方法计算的单个项目的投顾服务费高于单个项目咨询服务费上限时，该咨询服务费按照上限收取。</w:t>
      </w:r>
      <w:r>
        <w:rPr>
          <w:rFonts w:hint="eastAsia" w:cs="宋体" w:asciiTheme="minorEastAsia" w:hAnsiTheme="minorEastAsia" w:eastAsiaTheme="minorEastAsia"/>
          <w:b/>
          <w:szCs w:val="24"/>
        </w:rPr>
        <w:t>单个项目咨询服务费上限报价不得高于贰佰贰拾万元（高于此金额的视为无效报价）。</w:t>
      </w:r>
    </w:p>
    <w:p>
      <w:pPr>
        <w:spacing w:line="440" w:lineRule="exact"/>
        <w:ind w:firstLine="480" w:firstLineChars="200"/>
        <w:rPr>
          <w:rFonts w:cs="宋体" w:asciiTheme="minorEastAsia" w:hAnsiTheme="minorEastAsia" w:eastAsiaTheme="minorEastAsia"/>
          <w:b/>
          <w:szCs w:val="24"/>
        </w:rPr>
      </w:pPr>
      <w:r>
        <w:rPr>
          <w:rFonts w:hint="eastAsia" w:cs="宋体" w:asciiTheme="minorEastAsia" w:hAnsiTheme="minorEastAsia" w:eastAsiaTheme="minorEastAsia"/>
          <w:szCs w:val="24"/>
        </w:rPr>
        <w:t>当按照上述方法计算的单个项目的投顾服务费低于单个项目咨询服务费下限时，该咨询服务费按照下限收取。</w:t>
      </w:r>
      <w:r>
        <w:rPr>
          <w:rFonts w:hint="eastAsia" w:cs="宋体" w:asciiTheme="minorEastAsia" w:hAnsiTheme="minorEastAsia" w:eastAsiaTheme="minorEastAsia"/>
          <w:b/>
          <w:szCs w:val="24"/>
        </w:rPr>
        <w:t>单个项目咨询服务费下限报价不得高于捌拾万元（高于此金额的视为无效报价）。</w:t>
      </w:r>
    </w:p>
    <w:p>
      <w:pPr>
        <w:spacing w:line="360" w:lineRule="auto"/>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13.3 投标人应充分考虑项目</w:t>
      </w:r>
      <w:r>
        <w:rPr>
          <w:rFonts w:hint="eastAsia" w:cs="宋体" w:asciiTheme="minorEastAsia" w:hAnsiTheme="minorEastAsia" w:eastAsiaTheme="minorEastAsia"/>
          <w:szCs w:val="24"/>
        </w:rPr>
        <w:t>咨询</w:t>
      </w:r>
      <w:r>
        <w:rPr>
          <w:rFonts w:hint="eastAsia" w:cs="宋体" w:asciiTheme="minorEastAsia" w:hAnsiTheme="minorEastAsia" w:eastAsiaTheme="minorEastAsia"/>
          <w:szCs w:val="24"/>
          <w:lang w:val="zh-CN"/>
        </w:rPr>
        <w:t>期间</w:t>
      </w:r>
      <w:r>
        <w:rPr>
          <w:rFonts w:hint="eastAsia" w:cs="宋体" w:asciiTheme="minorEastAsia" w:hAnsiTheme="minorEastAsia" w:eastAsiaTheme="minorEastAsia"/>
          <w:szCs w:val="24"/>
        </w:rPr>
        <w:t>不确定因素带来的</w:t>
      </w:r>
      <w:r>
        <w:rPr>
          <w:rFonts w:hint="eastAsia" w:cs="宋体" w:asciiTheme="minorEastAsia" w:hAnsiTheme="minorEastAsia" w:eastAsiaTheme="minorEastAsia"/>
          <w:szCs w:val="24"/>
          <w:lang w:val="zh-CN"/>
        </w:rPr>
        <w:t>风险进行报价。结算时总价</w:t>
      </w:r>
      <w:r>
        <w:rPr>
          <w:rFonts w:hint="eastAsia" w:cs="宋体" w:asciiTheme="minorEastAsia" w:hAnsiTheme="minorEastAsia" w:eastAsiaTheme="minorEastAsia"/>
          <w:szCs w:val="24"/>
        </w:rPr>
        <w:t>根据实际落地金额做调整</w:t>
      </w:r>
      <w:r>
        <w:rPr>
          <w:rFonts w:hint="eastAsia" w:cs="宋体" w:asciiTheme="minorEastAsia" w:hAnsiTheme="minorEastAsia" w:eastAsiaTheme="minorEastAsia"/>
          <w:szCs w:val="24"/>
          <w:lang w:val="zh-CN"/>
        </w:rPr>
        <w:t>。(招标人要求变动的内容除外)。</w:t>
      </w:r>
    </w:p>
    <w:p>
      <w:pPr>
        <w:spacing w:line="360" w:lineRule="auto"/>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3</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4 招标人反对盲目压价，各投标人应根据本企业经营管理水平</w:t>
      </w:r>
      <w:r>
        <w:rPr>
          <w:rFonts w:hint="eastAsia" w:cs="宋体" w:asciiTheme="minorEastAsia" w:hAnsiTheme="minorEastAsia" w:eastAsiaTheme="minorEastAsia"/>
          <w:szCs w:val="24"/>
        </w:rPr>
        <w:t>合理制定服务费</w:t>
      </w:r>
      <w:r>
        <w:rPr>
          <w:rFonts w:hint="eastAsia" w:cs="宋体" w:asciiTheme="minorEastAsia" w:hAnsiTheme="minorEastAsia" w:eastAsiaTheme="minorEastAsia"/>
          <w:szCs w:val="24"/>
          <w:lang w:val="zh-CN"/>
        </w:rPr>
        <w:t>。</w:t>
      </w:r>
    </w:p>
    <w:p>
      <w:pPr>
        <w:spacing w:line="360" w:lineRule="auto"/>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13</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5</w:t>
      </w:r>
      <w:r>
        <w:rPr>
          <w:rFonts w:hint="eastAsia" w:cs="宋体" w:asciiTheme="minorEastAsia" w:hAnsiTheme="minorEastAsia" w:eastAsiaTheme="minorEastAsia"/>
          <w:szCs w:val="24"/>
        </w:rPr>
        <w:t>基础咨询服务</w:t>
      </w:r>
      <w:r>
        <w:rPr>
          <w:rFonts w:hint="eastAsia" w:cs="宋体" w:asciiTheme="minorEastAsia" w:hAnsiTheme="minorEastAsia" w:eastAsiaTheme="minorEastAsia"/>
          <w:szCs w:val="24"/>
          <w:lang w:val="zh-CN"/>
        </w:rPr>
        <w:t>只允许报</w:t>
      </w:r>
      <w:r>
        <w:rPr>
          <w:rFonts w:hint="eastAsia" w:cs="宋体" w:asciiTheme="minorEastAsia" w:hAnsiTheme="minorEastAsia" w:eastAsiaTheme="minorEastAsia"/>
          <w:szCs w:val="24"/>
        </w:rPr>
        <w:t>一组服务费上限</w:t>
      </w:r>
      <w:r>
        <w:rPr>
          <w:rFonts w:cs="宋体" w:asciiTheme="minorEastAsia" w:hAnsiTheme="minorEastAsia" w:eastAsiaTheme="minorEastAsia"/>
          <w:szCs w:val="24"/>
        </w:rPr>
        <w:t>、</w:t>
      </w:r>
      <w:r>
        <w:rPr>
          <w:rFonts w:hint="eastAsia" w:cs="宋体" w:asciiTheme="minorEastAsia" w:hAnsiTheme="minorEastAsia" w:eastAsiaTheme="minorEastAsia"/>
          <w:szCs w:val="24"/>
        </w:rPr>
        <w:t>下限</w:t>
      </w:r>
      <w:r>
        <w:rPr>
          <w:rFonts w:hint="eastAsia" w:cs="宋体" w:asciiTheme="minorEastAsia" w:hAnsiTheme="minorEastAsia" w:eastAsiaTheme="minorEastAsia"/>
          <w:szCs w:val="24"/>
          <w:lang w:val="zh-CN"/>
        </w:rPr>
        <w:t>。任何有选择的报价和现场修改均可能导致报价不被接受。</w:t>
      </w:r>
    </w:p>
    <w:p>
      <w:pPr>
        <w:spacing w:line="360" w:lineRule="auto"/>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13</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投标人可先到</w:t>
      </w:r>
      <w:r>
        <w:rPr>
          <w:rFonts w:hint="eastAsia" w:cs="宋体" w:asciiTheme="minorEastAsia" w:hAnsiTheme="minorEastAsia" w:eastAsiaTheme="minorEastAsia"/>
          <w:szCs w:val="24"/>
        </w:rPr>
        <w:t>新疆交通建设集团股份有限公司</w:t>
      </w:r>
      <w:r>
        <w:rPr>
          <w:rFonts w:cs="宋体" w:asciiTheme="minorEastAsia" w:hAnsiTheme="minorEastAsia" w:eastAsiaTheme="minorEastAsia"/>
          <w:szCs w:val="24"/>
          <w:lang w:val="zh-CN"/>
        </w:rPr>
        <w:t>充分了解</w:t>
      </w:r>
      <w:r>
        <w:rPr>
          <w:rFonts w:hint="eastAsia" w:cs="宋体" w:asciiTheme="minorEastAsia" w:hAnsiTheme="minorEastAsia" w:eastAsiaTheme="minorEastAsia"/>
          <w:szCs w:val="24"/>
        </w:rPr>
        <w:t>公司运营和发展情况</w:t>
      </w:r>
      <w:r>
        <w:rPr>
          <w:rFonts w:cs="宋体" w:asciiTheme="minorEastAsia" w:hAnsiTheme="minorEastAsia" w:eastAsiaTheme="minorEastAsia"/>
          <w:szCs w:val="24"/>
          <w:lang w:val="zh-CN"/>
        </w:rPr>
        <w:t>及任何其他足以影响</w:t>
      </w:r>
      <w:r>
        <w:rPr>
          <w:rFonts w:hint="eastAsia" w:cs="宋体" w:asciiTheme="minorEastAsia" w:hAnsiTheme="minorEastAsia" w:eastAsiaTheme="minorEastAsia"/>
          <w:szCs w:val="24"/>
        </w:rPr>
        <w:t>投标价</w:t>
      </w:r>
      <w:r>
        <w:rPr>
          <w:rFonts w:cs="宋体" w:asciiTheme="minorEastAsia" w:hAnsiTheme="minorEastAsia" w:eastAsiaTheme="minorEastAsia"/>
          <w:szCs w:val="24"/>
          <w:lang w:val="zh-CN"/>
        </w:rPr>
        <w:t>的情况，任何因忽视或误解</w:t>
      </w:r>
      <w:r>
        <w:rPr>
          <w:rFonts w:hint="eastAsia" w:cs="宋体" w:asciiTheme="minorEastAsia" w:hAnsiTheme="minorEastAsia" w:eastAsiaTheme="minorEastAsia"/>
          <w:szCs w:val="24"/>
        </w:rPr>
        <w:t>服务内容</w:t>
      </w:r>
      <w:r>
        <w:rPr>
          <w:rFonts w:cs="宋体" w:asciiTheme="minorEastAsia" w:hAnsiTheme="minorEastAsia" w:eastAsiaTheme="minorEastAsia"/>
          <w:szCs w:val="24"/>
          <w:lang w:val="zh-CN"/>
        </w:rPr>
        <w:t>而导致的</w:t>
      </w:r>
      <w:r>
        <w:rPr>
          <w:rFonts w:hint="eastAsia" w:cs="宋体" w:asciiTheme="minorEastAsia" w:hAnsiTheme="minorEastAsia" w:eastAsiaTheme="minorEastAsia"/>
          <w:szCs w:val="24"/>
        </w:rPr>
        <w:t>违约</w:t>
      </w:r>
      <w:r>
        <w:rPr>
          <w:rFonts w:cs="宋体" w:asciiTheme="minorEastAsia" w:hAnsiTheme="minorEastAsia" w:eastAsiaTheme="minorEastAsia"/>
          <w:szCs w:val="24"/>
          <w:lang w:val="zh-CN"/>
        </w:rPr>
        <w:t>申请将不被批准。</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1</w:t>
      </w:r>
      <w:r>
        <w:rPr>
          <w:rFonts w:hint="eastAsia" w:asciiTheme="minorEastAsia" w:hAnsiTheme="minorEastAsia" w:eastAsiaTheme="minorEastAsia"/>
          <w:lang w:val="zh-CN"/>
        </w:rPr>
        <w:t>4</w:t>
      </w:r>
      <w:r>
        <w:rPr>
          <w:rFonts w:asciiTheme="minorEastAsia" w:hAnsiTheme="minorEastAsia" w:eastAsiaTheme="minorEastAsia"/>
          <w:lang w:val="zh-CN"/>
        </w:rPr>
        <w:t>.</w:t>
      </w:r>
      <w:r>
        <w:rPr>
          <w:rFonts w:hint="eastAsia" w:asciiTheme="minorEastAsia" w:hAnsiTheme="minorEastAsia" w:eastAsiaTheme="minorEastAsia"/>
          <w:lang w:val="zh-CN"/>
        </w:rPr>
        <w:t xml:space="preserve"> 投标保证金</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hint="eastAsia" w:cs="宋体" w:asciiTheme="minorEastAsia" w:hAnsiTheme="minorEastAsia" w:eastAsiaTheme="minorEastAsia"/>
          <w:szCs w:val="24"/>
          <w:lang w:val="zh-CN"/>
        </w:rPr>
        <w:t>不适用。</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1</w:t>
      </w:r>
      <w:r>
        <w:rPr>
          <w:rFonts w:hint="eastAsia" w:asciiTheme="minorEastAsia" w:hAnsiTheme="minorEastAsia" w:eastAsiaTheme="minorEastAsia"/>
          <w:lang w:val="zh-CN"/>
        </w:rPr>
        <w:t>5</w:t>
      </w:r>
      <w:r>
        <w:rPr>
          <w:rFonts w:asciiTheme="minorEastAsia" w:hAnsiTheme="minorEastAsia" w:eastAsiaTheme="minorEastAsia"/>
          <w:lang w:val="zh-CN"/>
        </w:rPr>
        <w:t xml:space="preserve">. </w:t>
      </w:r>
      <w:r>
        <w:rPr>
          <w:rFonts w:hint="eastAsia" w:asciiTheme="minorEastAsia" w:hAnsiTheme="minorEastAsia" w:eastAsiaTheme="minorEastAsia"/>
          <w:lang w:val="zh-CN"/>
        </w:rPr>
        <w:t>投标有效期</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投标文件从开标之日算起，投标有效期以招标人约定开标时间为准。</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因特殊情况，招标人可于投标有效期满之前要求投标人同意延长有效期，但要求与答复均应为书面形式，投标人可以拒绝上述要求。对于同意该要求的投标人，既不要求也不允许其修改投标文件。</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1</w:t>
      </w:r>
      <w:r>
        <w:rPr>
          <w:rFonts w:hint="eastAsia" w:asciiTheme="minorEastAsia" w:hAnsiTheme="minorEastAsia" w:eastAsiaTheme="minorEastAsia"/>
          <w:lang w:val="zh-CN"/>
        </w:rPr>
        <w:t>6</w:t>
      </w:r>
      <w:r>
        <w:rPr>
          <w:rFonts w:asciiTheme="minorEastAsia" w:hAnsiTheme="minorEastAsia" w:eastAsiaTheme="minorEastAsia"/>
          <w:lang w:val="zh-CN"/>
        </w:rPr>
        <w:t>.</w:t>
      </w:r>
      <w:r>
        <w:rPr>
          <w:rFonts w:hint="eastAsia" w:asciiTheme="minorEastAsia" w:hAnsiTheme="minorEastAsia" w:eastAsiaTheme="minorEastAsia"/>
          <w:lang w:val="zh-CN"/>
        </w:rPr>
        <w:t xml:space="preserve"> 投标文件的签署和规定</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投标文件正本壹份、副本贰份，在每份投标文件封面上要明确注明</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正本</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或</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副本</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的字样及项目名称、投标人名称，一旦正本和副本有差异时，以正本为准。</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投标文件正本须打印并在指定位置由法定代表人或指定代理人签字并加盖投标人红色公章，副本可依照签字盖章的正本内容复制。</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 xml:space="preserve">.3 </w:t>
      </w:r>
      <w:r>
        <w:rPr>
          <w:rFonts w:hint="eastAsia" w:cs="宋体" w:asciiTheme="minorEastAsia" w:hAnsiTheme="minorEastAsia" w:eastAsiaTheme="minorEastAsia"/>
          <w:szCs w:val="24"/>
          <w:lang w:val="zh-CN"/>
        </w:rPr>
        <w:t xml:space="preserve"> 要求提供的所有资格和资质文件的复印件均要求加盖投标人公章。</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.4</w:t>
      </w:r>
      <w:r>
        <w:rPr>
          <w:rFonts w:hint="eastAsia" w:cs="宋体" w:asciiTheme="minorEastAsia" w:hAnsiTheme="minorEastAsia" w:eastAsiaTheme="minorEastAsia"/>
          <w:szCs w:val="24"/>
          <w:lang w:val="zh-CN"/>
        </w:rPr>
        <w:t xml:space="preserve">  除投标人对错处做必要修改外，投标文件中不许有加行、涂抹或改写情况。若有修改须由签署投标文件的法定代表人或经正式授权的委托代理人签字，并加盖投标人红色公章。</w:t>
      </w:r>
    </w:p>
    <w:p>
      <w:pPr>
        <w:autoSpaceDE w:val="0"/>
        <w:autoSpaceDN w:val="0"/>
        <w:adjustRightInd w:val="0"/>
        <w:spacing w:line="440" w:lineRule="exact"/>
        <w:jc w:val="center"/>
        <w:rPr>
          <w:rFonts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（四）投标文件的递交</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1</w:t>
      </w:r>
      <w:r>
        <w:rPr>
          <w:rFonts w:hint="eastAsia" w:asciiTheme="minorEastAsia" w:hAnsiTheme="minorEastAsia" w:eastAsiaTheme="minorEastAsia"/>
          <w:lang w:val="zh-CN"/>
        </w:rPr>
        <w:t>7</w:t>
      </w:r>
      <w:r>
        <w:rPr>
          <w:rFonts w:asciiTheme="minorEastAsia" w:hAnsiTheme="minorEastAsia" w:eastAsiaTheme="minorEastAsia"/>
          <w:lang w:val="zh-CN"/>
        </w:rPr>
        <w:t>.</w:t>
      </w:r>
      <w:r>
        <w:rPr>
          <w:rFonts w:hint="eastAsia" w:asciiTheme="minorEastAsia" w:hAnsiTheme="minorEastAsia" w:eastAsiaTheme="minorEastAsia"/>
          <w:lang w:val="zh-CN"/>
        </w:rPr>
        <w:t xml:space="preserve"> 投标文件的密封和标记</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投标人应将投标文件正本和副本用密封袋密封，并标明招标编号、投标项目名称、投标人名称、联系人、联系方式。</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密封袋上注明</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（招标文件中规定的开标日期及时间）之前不准启封</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的字样并加盖单位公章。</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 xml:space="preserve">  投标文件必须由专人递交，投标人应将投标文件按招标文件的规定进行密封和标记后，按招标文件中注明的时间和地址送达。</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1</w:t>
      </w:r>
      <w:r>
        <w:rPr>
          <w:rFonts w:hint="eastAsia" w:asciiTheme="minorEastAsia" w:hAnsiTheme="minorEastAsia" w:eastAsiaTheme="minorEastAsia"/>
          <w:lang w:val="zh-CN"/>
        </w:rPr>
        <w:t>8.递交投标文件的截止时间</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8</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所有投标文件都必须按招标文件规定的投标截止时间之前送至招标人指定地点。</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8</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出现因招标文件的修改而推迟投标截止时间的，则按招标人修改通知规定的时间递交。</w:t>
      </w:r>
    </w:p>
    <w:p>
      <w:pPr>
        <w:pStyle w:val="5"/>
        <w:numPr>
          <w:ilvl w:val="0"/>
          <w:numId w:val="0"/>
        </w:numPr>
        <w:spacing w:before="240"/>
        <w:ind w:left="862" w:hanging="862"/>
        <w:rPr>
          <w:rFonts w:asciiTheme="minorEastAsia" w:hAnsiTheme="minorEastAsia" w:eastAsiaTheme="minorEastAsia"/>
          <w:lang w:val="zh-CN"/>
        </w:rPr>
      </w:pPr>
      <w:r>
        <w:rPr>
          <w:rFonts w:hint="eastAsia" w:asciiTheme="minorEastAsia" w:hAnsiTheme="minorEastAsia" w:eastAsiaTheme="minorEastAsia"/>
          <w:lang w:val="zh-CN"/>
        </w:rPr>
        <w:t>19.迟交的投标文件</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hint="eastAsia" w:cs="宋体" w:asciiTheme="minorEastAsia" w:hAnsiTheme="minorEastAsia" w:eastAsiaTheme="minorEastAsia"/>
          <w:szCs w:val="24"/>
          <w:lang w:val="zh-CN"/>
        </w:rPr>
        <w:t>招标人将拒绝接收在投标截止时间后递交的投标文件。</w:t>
      </w:r>
    </w:p>
    <w:p>
      <w:pPr>
        <w:pStyle w:val="5"/>
        <w:numPr>
          <w:ilvl w:val="0"/>
          <w:numId w:val="0"/>
        </w:numPr>
        <w:spacing w:before="240"/>
        <w:ind w:left="862" w:hanging="862"/>
        <w:rPr>
          <w:rFonts w:asciiTheme="minorEastAsia" w:hAnsiTheme="minorEastAsia" w:eastAsiaTheme="minorEastAsia"/>
          <w:lang w:val="zh-CN"/>
        </w:rPr>
      </w:pPr>
      <w:r>
        <w:rPr>
          <w:rFonts w:hint="eastAsia" w:asciiTheme="minorEastAsia" w:hAnsiTheme="minorEastAsia" w:eastAsiaTheme="minorEastAsia"/>
          <w:lang w:val="zh-CN"/>
        </w:rPr>
        <w:t>20</w:t>
      </w:r>
      <w:r>
        <w:rPr>
          <w:rFonts w:asciiTheme="minorEastAsia" w:hAnsiTheme="minorEastAsia" w:eastAsiaTheme="minorEastAsia"/>
          <w:lang w:val="zh-CN"/>
        </w:rPr>
        <w:t>.</w:t>
      </w:r>
      <w:r>
        <w:rPr>
          <w:rFonts w:hint="eastAsia" w:asciiTheme="minorEastAsia" w:hAnsiTheme="minorEastAsia" w:eastAsiaTheme="minorEastAsia"/>
          <w:lang w:val="zh-CN"/>
        </w:rPr>
        <w:t>投标文件的修改和撤消</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0</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投标人提交投标文件后在投标截止时间之前可对其投标文件进行修改或撤消，但投标人必须保证招标人收到该修改或撤消的书面通知，而且该通知须由法定代表人或经正式授权的委托代理人签字并加盖投标人公章。</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0</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投标人对投标文件进行修改或撤消均应按本招标文件的规定进行编写、密封、标注和递交，并注明</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修改投标文件</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或</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撤消投标</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字样。</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0</w:t>
      </w: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 xml:space="preserve">  投标截止时间以后不得修改投标文件。</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0</w:t>
      </w:r>
      <w:r>
        <w:rPr>
          <w:rFonts w:cs="宋体" w:asciiTheme="minorEastAsia" w:hAnsiTheme="minorEastAsia" w:eastAsiaTheme="minorEastAsia"/>
          <w:szCs w:val="24"/>
          <w:lang w:val="zh-CN"/>
        </w:rPr>
        <w:t>.4</w:t>
      </w:r>
      <w:r>
        <w:rPr>
          <w:rFonts w:hint="eastAsia" w:cs="宋体" w:asciiTheme="minorEastAsia" w:hAnsiTheme="minorEastAsia" w:eastAsiaTheme="minorEastAsia"/>
          <w:szCs w:val="24"/>
          <w:lang w:val="zh-CN"/>
        </w:rPr>
        <w:t xml:space="preserve">  投标人不得在开标时间起至投标文件有效期期满前撤消投标文件。</w:t>
      </w:r>
    </w:p>
    <w:p>
      <w:pPr>
        <w:autoSpaceDE w:val="0"/>
        <w:autoSpaceDN w:val="0"/>
        <w:adjustRightInd w:val="0"/>
        <w:spacing w:line="440" w:lineRule="exact"/>
        <w:ind w:firstLine="141"/>
        <w:jc w:val="center"/>
        <w:rPr>
          <w:rFonts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（五）开标与评标</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1.开标</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1</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 xml:space="preserve"> 招标人将按招标中确定的时间和地点公开开标。</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1</w:t>
      </w:r>
      <w:r>
        <w:rPr>
          <w:rFonts w:cs="宋体" w:asciiTheme="minorEastAsia" w:hAnsiTheme="minorEastAsia" w:eastAsiaTheme="minorEastAsia"/>
          <w:szCs w:val="24"/>
          <w:lang w:val="zh-CN"/>
        </w:rPr>
        <w:t xml:space="preserve">.2  </w:t>
      </w:r>
      <w:r>
        <w:rPr>
          <w:rFonts w:hint="eastAsia" w:asciiTheme="minorEastAsia" w:hAnsiTheme="minorEastAsia" w:eastAsiaTheme="minorEastAsia"/>
          <w:bCs/>
        </w:rPr>
        <w:t>开标现场，将由招标单位人员按登记顺序开标。</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1</w:t>
      </w:r>
      <w:r>
        <w:rPr>
          <w:rFonts w:cs="宋体" w:asciiTheme="minorEastAsia" w:hAnsiTheme="minorEastAsia" w:eastAsiaTheme="minorEastAsia"/>
          <w:szCs w:val="24"/>
          <w:lang w:val="zh-CN"/>
        </w:rPr>
        <w:t xml:space="preserve">.3  </w:t>
      </w:r>
      <w:r>
        <w:rPr>
          <w:rFonts w:hint="eastAsia" w:cs="宋体" w:asciiTheme="minorEastAsia" w:hAnsiTheme="minorEastAsia" w:eastAsiaTheme="minorEastAsia"/>
          <w:szCs w:val="24"/>
          <w:lang w:val="zh-CN"/>
        </w:rPr>
        <w:t>商务标由招标人评标委员会根据评分标准测算得分。</w:t>
      </w:r>
    </w:p>
    <w:p>
      <w:pPr>
        <w:autoSpaceDE w:val="0"/>
        <w:autoSpaceDN w:val="0"/>
        <w:adjustRightInd w:val="0"/>
        <w:spacing w:line="440" w:lineRule="exact"/>
        <w:ind w:firstLine="480" w:firstLineChars="200"/>
        <w:rPr>
          <w:rFonts w:asciiTheme="minorEastAsia" w:hAnsiTheme="minorEastAsia" w:eastAsiaTheme="minorEastAsia"/>
          <w:b/>
        </w:rPr>
      </w:pPr>
      <w:r>
        <w:rPr>
          <w:rFonts w:hint="eastAsia" w:cs="宋体" w:asciiTheme="minorEastAsia" w:hAnsiTheme="minorEastAsia" w:eastAsiaTheme="minorEastAsia"/>
          <w:szCs w:val="24"/>
          <w:lang w:val="zh-CN"/>
        </w:rPr>
        <w:t>21.4 开标完毕后，如投标人对开标过程、开标结果有异议，</w:t>
      </w:r>
      <w:r>
        <w:rPr>
          <w:rFonts w:hint="eastAsia" w:cs="宋体" w:asciiTheme="minorEastAsia" w:hAnsiTheme="minorEastAsia" w:eastAsiaTheme="minorEastAsia"/>
          <w:szCs w:val="24"/>
        </w:rPr>
        <w:t>可书面</w:t>
      </w:r>
      <w:r>
        <w:rPr>
          <w:rFonts w:hint="eastAsia" w:cs="宋体" w:asciiTheme="minorEastAsia" w:hAnsiTheme="minorEastAsia" w:eastAsiaTheme="minorEastAsia"/>
          <w:szCs w:val="24"/>
          <w:lang w:val="zh-CN"/>
        </w:rPr>
        <w:t>申请说明。</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2.废标</w:t>
      </w:r>
    </w:p>
    <w:p>
      <w:pPr>
        <w:autoSpaceDE w:val="0"/>
        <w:autoSpaceDN w:val="0"/>
        <w:adjustRightInd w:val="0"/>
        <w:spacing w:line="440" w:lineRule="exact"/>
        <w:ind w:firstLine="482" w:firstLineChars="200"/>
        <w:rPr>
          <w:rFonts w:asciiTheme="minorEastAsia" w:hAnsiTheme="minorEastAsia" w:eastAsiaTheme="minorEastAsia"/>
          <w:b/>
          <w:bCs/>
          <w:szCs w:val="24"/>
          <w:lang w:val="zh-CN"/>
        </w:rPr>
      </w:pPr>
      <w:r>
        <w:rPr>
          <w:rFonts w:hint="eastAsia" w:cs="宋体" w:asciiTheme="minorEastAsia" w:hAnsiTheme="minorEastAsia" w:eastAsiaTheme="minorEastAsia"/>
          <w:b/>
          <w:bCs/>
          <w:szCs w:val="24"/>
          <w:lang w:val="zh-CN"/>
        </w:rPr>
        <w:t>在招标活动中，出现下列情形之一的，本项目将予以废标：</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2</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符合专业条件的投标人或者对招标文件做实质响应的投标人不足三家的；</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2</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出现影响招标公正的违法、违规行为的；</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2</w:t>
      </w: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投标人的报价均超过了招标预算，招标人不能支付的；</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2</w:t>
      </w:r>
      <w:r>
        <w:rPr>
          <w:rFonts w:cs="宋体" w:asciiTheme="minorEastAsia" w:hAnsiTheme="minorEastAsia" w:eastAsiaTheme="minorEastAsia"/>
          <w:szCs w:val="24"/>
          <w:lang w:val="zh-CN"/>
        </w:rPr>
        <w:t>.4</w:t>
      </w:r>
      <w:r>
        <w:rPr>
          <w:rFonts w:hint="eastAsia" w:cs="宋体" w:asciiTheme="minorEastAsia" w:hAnsiTheme="minorEastAsia" w:eastAsiaTheme="minorEastAsia"/>
          <w:szCs w:val="24"/>
          <w:lang w:val="zh-CN"/>
        </w:rPr>
        <w:t>因重大变故，项目</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或招标任务</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被取消的。</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hint="eastAsia" w:cs="宋体" w:asciiTheme="minorEastAsia" w:hAnsiTheme="minorEastAsia" w:eastAsiaTheme="minorEastAsia"/>
          <w:szCs w:val="24"/>
          <w:lang w:val="zh-CN"/>
        </w:rPr>
        <w:t>废标后，招标人将废标理由通知所有投标人。</w:t>
      </w:r>
    </w:p>
    <w:p>
      <w:pPr>
        <w:pStyle w:val="5"/>
        <w:numPr>
          <w:ilvl w:val="0"/>
          <w:numId w:val="0"/>
        </w:numPr>
        <w:spacing w:before="240"/>
        <w:ind w:left="862" w:hanging="862"/>
        <w:rPr>
          <w:rFonts w:asciiTheme="minorEastAsia" w:hAnsiTheme="minorEastAsia" w:eastAsiaTheme="minorEastAsia"/>
          <w:b w:val="0"/>
          <w:lang w:val="zh-CN"/>
        </w:rPr>
      </w:pPr>
      <w:r>
        <w:rPr>
          <w:rFonts w:asciiTheme="minorEastAsia" w:hAnsiTheme="minorEastAsia" w:eastAsiaTheme="minorEastAsia"/>
          <w:lang w:val="zh-CN"/>
        </w:rPr>
        <w:t>2</w:t>
      </w:r>
      <w:r>
        <w:rPr>
          <w:rFonts w:hint="eastAsia" w:asciiTheme="minorEastAsia" w:hAnsiTheme="minorEastAsia" w:eastAsiaTheme="minorEastAsia"/>
          <w:lang w:val="zh-CN"/>
        </w:rPr>
        <w:t>3.投标文件的有效性</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23.1  投标文件有下列情形之一的，招标人不予受理：</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（1）逾期送达的或者未送达指定地点的；</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（2）未按招标文件要求密封的。</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23.2  投标文件有下列情形之一的，由评标委员会初审后按废标处理：</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（1）未按招标文件要求经单位盖章或法定代表人签字的；</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w:t>
      </w:r>
      <w:r>
        <w:rPr>
          <w:rFonts w:hint="eastAsia" w:cs="宋体" w:asciiTheme="minorEastAsia" w:hAnsiTheme="minorEastAsia" w:eastAsiaTheme="minorEastAsia"/>
          <w:szCs w:val="24"/>
        </w:rPr>
        <w:t>2</w:t>
      </w:r>
      <w:r>
        <w:rPr>
          <w:rFonts w:hint="eastAsia" w:cs="宋体" w:asciiTheme="minorEastAsia" w:hAnsiTheme="minorEastAsia" w:eastAsiaTheme="minorEastAsia"/>
          <w:szCs w:val="24"/>
          <w:lang w:val="zh-CN"/>
        </w:rPr>
        <w:t>）未按规定的格式填写，内容不全或关键字迹模糊、无法辨认的；</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w:t>
      </w:r>
      <w:r>
        <w:rPr>
          <w:rFonts w:hint="eastAsia" w:cs="宋体" w:asciiTheme="minorEastAsia" w:hAnsiTheme="minorEastAsia" w:eastAsiaTheme="minorEastAsia"/>
          <w:szCs w:val="24"/>
        </w:rPr>
        <w:t>3</w:t>
      </w:r>
      <w:r>
        <w:rPr>
          <w:rFonts w:hint="eastAsia" w:cs="宋体" w:asciiTheme="minorEastAsia" w:hAnsiTheme="minorEastAsia" w:eastAsiaTheme="minorEastAsia"/>
          <w:szCs w:val="24"/>
          <w:lang w:val="zh-CN"/>
        </w:rPr>
        <w:t>）投标人递交两份或多份内容不同的投标文件，或在一份投标文件中对同一招标项目报有两个或多个报价，且未声明哪一个为最终报价的，按招标文件规定提交备选投标方案的除外；</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w:t>
      </w:r>
      <w:r>
        <w:rPr>
          <w:rFonts w:hint="eastAsia" w:cs="宋体" w:asciiTheme="minorEastAsia" w:hAnsiTheme="minorEastAsia" w:eastAsiaTheme="minorEastAsia"/>
          <w:szCs w:val="24"/>
        </w:rPr>
        <w:t>4</w:t>
      </w:r>
      <w:r>
        <w:rPr>
          <w:rFonts w:hint="eastAsia" w:cs="宋体" w:asciiTheme="minorEastAsia" w:hAnsiTheme="minorEastAsia" w:eastAsiaTheme="minorEastAsia"/>
          <w:szCs w:val="24"/>
          <w:lang w:val="zh-CN"/>
        </w:rPr>
        <w:t>）投标人名称或组织结构与报名时不一致且未提供有效证明的；</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w:t>
      </w:r>
      <w:r>
        <w:rPr>
          <w:rFonts w:hint="eastAsia" w:cs="宋体" w:asciiTheme="minorEastAsia" w:hAnsiTheme="minorEastAsia" w:eastAsiaTheme="minorEastAsia"/>
          <w:szCs w:val="24"/>
        </w:rPr>
        <w:t>5</w:t>
      </w:r>
      <w:r>
        <w:rPr>
          <w:rFonts w:hint="eastAsia" w:cs="宋体" w:asciiTheme="minorEastAsia" w:hAnsiTheme="minorEastAsia" w:eastAsiaTheme="minorEastAsia"/>
          <w:szCs w:val="24"/>
          <w:lang w:val="zh-CN"/>
        </w:rPr>
        <w:t>）投标有效期不满足招标文件要求的；</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w:t>
      </w:r>
      <w:r>
        <w:rPr>
          <w:rFonts w:hint="eastAsia" w:cs="宋体" w:asciiTheme="minorEastAsia" w:hAnsiTheme="minorEastAsia" w:eastAsiaTheme="minorEastAsia"/>
          <w:szCs w:val="24"/>
        </w:rPr>
        <w:t>6</w:t>
      </w:r>
      <w:r>
        <w:rPr>
          <w:rFonts w:hint="eastAsia" w:cs="宋体" w:asciiTheme="minorEastAsia" w:hAnsiTheme="minorEastAsia" w:eastAsiaTheme="minorEastAsia"/>
          <w:szCs w:val="24"/>
          <w:lang w:val="zh-CN"/>
        </w:rPr>
        <w:t>）投标文件未实质响应招标文件要求或未按招标文件规定格式提供的；</w:t>
      </w:r>
    </w:p>
    <w:p>
      <w:pPr>
        <w:autoSpaceDE w:val="0"/>
        <w:autoSpaceDN w:val="0"/>
        <w:adjustRightInd w:val="0"/>
        <w:spacing w:line="440" w:lineRule="exact"/>
        <w:ind w:firstLine="480" w:firstLineChars="200"/>
        <w:rPr>
          <w:rFonts w:asciiTheme="minorEastAsia" w:hAnsiTheme="minorEastAsia" w:eastAsiaTheme="minorEastAsia"/>
          <w:szCs w:val="24"/>
        </w:rPr>
      </w:pPr>
      <w:r>
        <w:rPr>
          <w:rFonts w:hint="eastAsia" w:cs="宋体" w:asciiTheme="minorEastAsia" w:hAnsiTheme="minorEastAsia" w:eastAsiaTheme="minorEastAsia"/>
          <w:szCs w:val="24"/>
          <w:lang w:val="zh-CN"/>
        </w:rPr>
        <w:t>（</w:t>
      </w:r>
      <w:r>
        <w:rPr>
          <w:rFonts w:hint="eastAsia" w:cs="宋体" w:asciiTheme="minorEastAsia" w:hAnsiTheme="minorEastAsia" w:eastAsiaTheme="minorEastAsia"/>
          <w:szCs w:val="24"/>
        </w:rPr>
        <w:t>7</w:t>
      </w:r>
      <w:r>
        <w:rPr>
          <w:rFonts w:hint="eastAsia" w:cs="宋体" w:asciiTheme="minorEastAsia" w:hAnsiTheme="minorEastAsia" w:eastAsiaTheme="minorEastAsia"/>
          <w:szCs w:val="24"/>
          <w:lang w:val="zh-CN"/>
        </w:rPr>
        <w:t>）招标文件明确规定可以废标的其他情形。</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4.评标委员会</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4</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招标人将根据本次招标的特点组建评标委员会，其成员由</w:t>
      </w:r>
      <w:bookmarkStart w:id="1" w:name="_Hlk56780639"/>
      <w:r>
        <w:rPr>
          <w:rFonts w:hint="eastAsia" w:cs="宋体" w:asciiTheme="minorEastAsia" w:hAnsiTheme="minorEastAsia" w:eastAsiaTheme="minorEastAsia"/>
          <w:szCs w:val="24"/>
          <w:lang w:val="zh-CN"/>
        </w:rPr>
        <w:t>招标人代表1人</w:t>
      </w:r>
      <w:bookmarkEnd w:id="1"/>
      <w:r>
        <w:rPr>
          <w:rFonts w:hint="eastAsia" w:cs="宋体" w:asciiTheme="minorEastAsia" w:hAnsiTheme="minorEastAsia" w:eastAsiaTheme="minorEastAsia"/>
          <w:szCs w:val="24"/>
          <w:lang w:val="zh-CN"/>
        </w:rPr>
        <w:t>、评标专家4</w:t>
      </w:r>
      <w:r>
        <w:rPr>
          <w:rFonts w:cs="宋体" w:asciiTheme="minorEastAsia" w:hAnsiTheme="minorEastAsia" w:eastAsiaTheme="minorEastAsia"/>
          <w:szCs w:val="24"/>
          <w:lang w:val="zh-CN"/>
        </w:rPr>
        <w:t>人</w:t>
      </w:r>
      <w:r>
        <w:rPr>
          <w:rFonts w:hint="eastAsia" w:cs="宋体" w:asciiTheme="minorEastAsia" w:hAnsiTheme="minorEastAsia" w:eastAsiaTheme="minorEastAsia"/>
          <w:szCs w:val="24"/>
        </w:rPr>
        <w:t>及以上</w:t>
      </w:r>
      <w:r>
        <w:rPr>
          <w:rFonts w:cs="宋体" w:asciiTheme="minorEastAsia" w:hAnsiTheme="minorEastAsia" w:eastAsiaTheme="minorEastAsia"/>
          <w:szCs w:val="24"/>
          <w:lang w:val="zh-CN"/>
        </w:rPr>
        <w:t>组成。</w:t>
      </w:r>
      <w:r>
        <w:rPr>
          <w:rFonts w:hint="eastAsia" w:cs="宋体" w:asciiTheme="minorEastAsia" w:hAnsiTheme="minorEastAsia" w:eastAsiaTheme="minorEastAsia"/>
          <w:szCs w:val="24"/>
          <w:lang w:val="zh-CN"/>
        </w:rPr>
        <w:t>评标委员会有对投标文件进行审查、质疑、评估、比较和打分的权利。</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5.对投标文件的审查和响应性的确定</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开标后，评标委员会将组织审查投标文件是否完整，是否有计算错误，文件是否恰当签署。开标时，投标文件中开标一览表（投标报价）与投标文件中投标报价明细表（投标报价）不一致的，以开标一览表（投标报价）为准。若大写金额与小写金额不一致的，则以大写金额为准。按上述修正错误的原则及方法调整或修正投标文件的投标报价，投标人同意后，调整后的投标报价对投标人起约束作用。若投标人拒绝接受上述修正，其投标将被拒绝。</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在对投标文件进行详细评估之前，评标委员会将依据投标人提供的资格（含资质）证明文件审查投标人的财务、技术、</w:t>
      </w:r>
      <w:r>
        <w:rPr>
          <w:rFonts w:hint="eastAsia" w:cs="宋体" w:asciiTheme="minorEastAsia" w:hAnsiTheme="minorEastAsia" w:eastAsiaTheme="minorEastAsia"/>
          <w:szCs w:val="24"/>
        </w:rPr>
        <w:t>咨询</w:t>
      </w:r>
      <w:r>
        <w:rPr>
          <w:rFonts w:hint="eastAsia" w:cs="宋体" w:asciiTheme="minorEastAsia" w:hAnsiTheme="minorEastAsia" w:eastAsiaTheme="minorEastAsia"/>
          <w:szCs w:val="24"/>
          <w:lang w:val="zh-CN"/>
        </w:rPr>
        <w:t>能力和服务水平。如果确定投标人无资格履行合同，其投标将被拒绝。</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 xml:space="preserve">  评标委员会将确定每一投标是否对招标文件的实质性要求做出完全响应，而没有重大偏离。完全响应的投标是指投标符合招标文件的所有条款、条件和规定、且没有重大偏离或保留。重大偏离或保留系指影响到招标文件规定的服务范围、质量和成果要求，或限制了招标人的权力和投标人的义务规定，而纠正这些偏离将影响到其他提交实质性响应投标的投标人的公平竞争地位。</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.4</w:t>
      </w:r>
      <w:r>
        <w:rPr>
          <w:rFonts w:hint="eastAsia" w:cs="宋体" w:asciiTheme="minorEastAsia" w:hAnsiTheme="minorEastAsia" w:eastAsiaTheme="minorEastAsia"/>
          <w:szCs w:val="24"/>
          <w:lang w:val="zh-CN"/>
        </w:rPr>
        <w:t xml:space="preserve">  评标委员会判断投标文件的响应性仅基于投标文件本身而不靠外部证据。</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.5</w:t>
      </w:r>
      <w:r>
        <w:rPr>
          <w:rFonts w:hint="eastAsia" w:cs="宋体" w:asciiTheme="minorEastAsia" w:hAnsiTheme="minorEastAsia" w:eastAsiaTheme="minorEastAsia"/>
          <w:szCs w:val="24"/>
          <w:lang w:val="zh-CN"/>
        </w:rPr>
        <w:t xml:space="preserve">  评标委员会将拒绝被确定为非实质性响应的投标，投标人不能通过修正或撤消不符之处而使其投标成为实质性响应的投标。</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.6</w:t>
      </w:r>
      <w:r>
        <w:rPr>
          <w:rFonts w:hint="eastAsia" w:cs="宋体" w:asciiTheme="minorEastAsia" w:hAnsiTheme="minorEastAsia" w:eastAsiaTheme="minorEastAsia"/>
          <w:szCs w:val="24"/>
          <w:lang w:val="zh-CN"/>
        </w:rPr>
        <w:t xml:space="preserve">  将允许修改投标文件中不构成重大偏离的微小的、非正规、不一致或不规则的地方。</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6.投标文件的澄清</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为了有助于对投标文件进行审查、评估和比较，评标委员会有权向投标人质疑，请投标人澄清其投标内容。投标人有责任按照招标人通知的时间、地点由法定代表人或经正式授权的委托代理人进行答疑和澄清；</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重要澄清的答复应是书面的，并作为投标文件的一部分，但不得对投标内容进行实质性修改。</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7.对投标文件的评估和比较</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评标委员会将按照本须知规定，仅对在实质上响应招标文件要求的投标文件进行评估和比较；</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评标委员会依据本文件</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评标办法</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规定的评标标准和方法，对投标文件进行评审和比较，向招标人提出书面评标报告，并推荐</w:t>
      </w:r>
      <w:r>
        <w:rPr>
          <w:rFonts w:cs="宋体" w:asciiTheme="minorEastAsia" w:hAnsiTheme="minorEastAsia" w:eastAsiaTheme="minorEastAsia"/>
          <w:szCs w:val="24"/>
          <w:lang w:val="zh-CN"/>
        </w:rPr>
        <w:t>中标候选人</w:t>
      </w:r>
      <w:r>
        <w:rPr>
          <w:rFonts w:hint="eastAsia" w:cs="宋体" w:asciiTheme="minorEastAsia" w:hAnsiTheme="minorEastAsia" w:eastAsiaTheme="minorEastAsia"/>
          <w:szCs w:val="24"/>
          <w:lang w:val="zh-CN"/>
        </w:rPr>
        <w:t>。招标人根据评标委员会提出的书面评标报告和推荐的中标候选人确定中标人；</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 xml:space="preserve">  评标程序分；初步评审和详细评审（含综合评议打分、统分排名和确定中标候选人）；</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.4</w:t>
      </w:r>
      <w:r>
        <w:rPr>
          <w:rFonts w:hint="eastAsia" w:cs="宋体" w:asciiTheme="minorEastAsia" w:hAnsiTheme="minorEastAsia" w:eastAsiaTheme="minorEastAsia"/>
          <w:szCs w:val="24"/>
          <w:lang w:val="zh-CN"/>
        </w:rPr>
        <w:t xml:space="preserve">  评标时除主要考虑投标报价外，还将考虑以下因素：</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.4.1</w:t>
      </w:r>
      <w:r>
        <w:rPr>
          <w:rFonts w:hint="eastAsia" w:cs="宋体" w:asciiTheme="minorEastAsia" w:hAnsiTheme="minorEastAsia" w:eastAsiaTheme="minorEastAsia"/>
          <w:szCs w:val="24"/>
          <w:lang w:val="zh-CN"/>
        </w:rPr>
        <w:t xml:space="preserve">  投标人规模、综合实力、项目实施能力、单位或公司知名度和信誉等情况，投标人资质情况；</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.4.2</w:t>
      </w:r>
      <w:r>
        <w:rPr>
          <w:rFonts w:hint="eastAsia" w:cs="宋体" w:asciiTheme="minorEastAsia" w:hAnsiTheme="minorEastAsia" w:eastAsiaTheme="minorEastAsia"/>
          <w:szCs w:val="24"/>
          <w:lang w:val="zh-CN"/>
        </w:rPr>
        <w:t xml:space="preserve">  投标人类似项目实施成功案例情况；</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.4.3</w:t>
      </w:r>
      <w:r>
        <w:rPr>
          <w:rFonts w:hint="eastAsia" w:cs="宋体" w:asciiTheme="minorEastAsia" w:hAnsiTheme="minorEastAsia" w:eastAsiaTheme="minorEastAsia"/>
          <w:szCs w:val="24"/>
          <w:lang w:val="zh-CN"/>
        </w:rPr>
        <w:t xml:space="preserve">  投标人</w:t>
      </w:r>
      <w:r>
        <w:rPr>
          <w:rFonts w:hint="eastAsia" w:cs="宋体" w:asciiTheme="minorEastAsia" w:hAnsiTheme="minorEastAsia" w:eastAsiaTheme="minorEastAsia"/>
          <w:szCs w:val="24"/>
        </w:rPr>
        <w:t>咨询服务方式</w:t>
      </w:r>
      <w:r>
        <w:rPr>
          <w:rFonts w:hint="eastAsia" w:cs="宋体" w:asciiTheme="minorEastAsia" w:hAnsiTheme="minorEastAsia" w:eastAsiaTheme="minorEastAsia"/>
          <w:szCs w:val="24"/>
          <w:lang w:val="zh-CN"/>
        </w:rPr>
        <w:t>；</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.4.4</w:t>
      </w:r>
      <w:r>
        <w:rPr>
          <w:rFonts w:hint="eastAsia" w:cs="宋体" w:asciiTheme="minorEastAsia" w:hAnsiTheme="minorEastAsia" w:eastAsiaTheme="minorEastAsia"/>
          <w:szCs w:val="24"/>
          <w:lang w:val="zh-CN"/>
        </w:rPr>
        <w:t xml:space="preserve">  对招标文件的响应程度的高低性；</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.4.5</w:t>
      </w:r>
      <w:r>
        <w:rPr>
          <w:rFonts w:hint="eastAsia" w:cs="宋体" w:asciiTheme="minorEastAsia" w:hAnsiTheme="minorEastAsia" w:eastAsiaTheme="minorEastAsia"/>
          <w:szCs w:val="24"/>
          <w:lang w:val="zh-CN"/>
        </w:rPr>
        <w:t xml:space="preserve">  评标委员会集体认为对招标人有利的其他参考因素。</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2</w:t>
      </w:r>
      <w:r>
        <w:rPr>
          <w:rFonts w:hint="eastAsia" w:asciiTheme="minorEastAsia" w:hAnsiTheme="minorEastAsia" w:eastAsiaTheme="minorEastAsia"/>
          <w:lang w:val="zh-CN"/>
        </w:rPr>
        <w:t>8.评标原则及评标办法</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8</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本次招标的评标办法是综合评分法，详见</w:t>
      </w:r>
      <w:r>
        <w:rPr>
          <w:rFonts w:hint="eastAsia" w:asciiTheme="minorEastAsia" w:hAnsiTheme="minorEastAsia" w:eastAsiaTheme="minorEastAsia"/>
          <w:szCs w:val="24"/>
          <w:lang w:val="zh-CN"/>
        </w:rPr>
        <w:t>“第四部分：</w:t>
      </w:r>
      <w:r>
        <w:rPr>
          <w:rFonts w:hint="eastAsia" w:cs="宋体" w:asciiTheme="minorEastAsia" w:hAnsiTheme="minorEastAsia" w:eastAsiaTheme="minorEastAsia"/>
          <w:szCs w:val="24"/>
          <w:lang w:val="zh-CN"/>
        </w:rPr>
        <w:t>评标程序、办法和标准</w:t>
      </w:r>
      <w:r>
        <w:rPr>
          <w:rFonts w:hint="eastAsia" w:asciiTheme="minorEastAsia" w:hAnsiTheme="minorEastAsia" w:eastAsiaTheme="minorEastAsia"/>
          <w:szCs w:val="24"/>
          <w:lang w:val="zh-CN"/>
        </w:rPr>
        <w:t>”</w:t>
      </w:r>
      <w:r>
        <w:rPr>
          <w:rFonts w:hint="eastAsia" w:cs="宋体" w:asciiTheme="minorEastAsia" w:hAnsiTheme="minorEastAsia" w:eastAsiaTheme="minorEastAsia"/>
          <w:szCs w:val="24"/>
          <w:lang w:val="zh-CN"/>
        </w:rPr>
        <w:t>。</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8</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 xml:space="preserve"> 评标工作应该遵循公平、公正、科学和择优的原则。对所有投标人的投标评比、打分都采用相同的评分办法、程序和标准。</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8</w:t>
      </w: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 xml:space="preserve"> 评标委员会将按照《中华人民共和国招标投标法》、《中华人民共和国招标投标法实施条例》以及其他相关法律、法规的规定仅对按照本须知实质性响应招标文件要求的投标文件，进行评标。</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8</w:t>
      </w:r>
      <w:r>
        <w:rPr>
          <w:rFonts w:cs="宋体" w:asciiTheme="minorEastAsia" w:hAnsiTheme="minorEastAsia" w:eastAsiaTheme="minorEastAsia"/>
          <w:szCs w:val="24"/>
          <w:lang w:val="zh-CN"/>
        </w:rPr>
        <w:t>.4</w:t>
      </w:r>
      <w:r>
        <w:rPr>
          <w:rFonts w:hint="eastAsia" w:cs="宋体" w:asciiTheme="minorEastAsia" w:hAnsiTheme="minorEastAsia" w:eastAsiaTheme="minorEastAsia"/>
          <w:szCs w:val="24"/>
          <w:lang w:val="zh-CN"/>
        </w:rPr>
        <w:t xml:space="preserve"> 评标将严格根据招标文件“第四部分评标程序、办法和标准”中规定的评标程序和规则进行。</w:t>
      </w:r>
    </w:p>
    <w:p>
      <w:pPr>
        <w:pStyle w:val="5"/>
        <w:numPr>
          <w:ilvl w:val="0"/>
          <w:numId w:val="0"/>
        </w:numPr>
        <w:spacing w:before="240"/>
        <w:ind w:left="862" w:hanging="862"/>
        <w:rPr>
          <w:rFonts w:asciiTheme="minorEastAsia" w:hAnsiTheme="minorEastAsia" w:eastAsiaTheme="minorEastAsia"/>
          <w:lang w:val="zh-CN"/>
        </w:rPr>
      </w:pPr>
      <w:r>
        <w:rPr>
          <w:rFonts w:hint="eastAsia" w:asciiTheme="minorEastAsia" w:hAnsiTheme="minorEastAsia" w:eastAsiaTheme="minorEastAsia"/>
          <w:lang w:val="zh-CN"/>
        </w:rPr>
        <w:t>29.保密</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hint="eastAsia" w:cs="宋体" w:asciiTheme="minorEastAsia" w:hAnsiTheme="minorEastAsia" w:eastAsiaTheme="minorEastAsia"/>
          <w:szCs w:val="24"/>
          <w:lang w:val="zh-CN"/>
        </w:rPr>
        <w:t>29</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 xml:space="preserve"> 有关投标文件的审查、澄清、评比以及有关授予合同的意向的一切情况，评标委员会成员、招标人及相关工作人员都不得透露给其他任何投标人或与上述评比工作无关的人员。</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29</w:t>
      </w:r>
      <w:r>
        <w:rPr>
          <w:rFonts w:cs="宋体" w:asciiTheme="minorEastAsia" w:hAnsiTheme="minorEastAsia" w:eastAsiaTheme="minorEastAsia"/>
          <w:szCs w:val="24"/>
          <w:lang w:val="zh-CN"/>
        </w:rPr>
        <w:t xml:space="preserve">.2 </w:t>
      </w:r>
      <w:r>
        <w:rPr>
          <w:rFonts w:hint="eastAsia" w:cs="宋体" w:asciiTheme="minorEastAsia" w:hAnsiTheme="minorEastAsia" w:eastAsiaTheme="minorEastAsia"/>
          <w:szCs w:val="24"/>
          <w:lang w:val="zh-CN"/>
        </w:rPr>
        <w:t xml:space="preserve"> 投标人不得干扰招标人和评标委员会的评标活动，否则将废除其投标。</w:t>
      </w:r>
    </w:p>
    <w:p>
      <w:pPr>
        <w:autoSpaceDE w:val="0"/>
        <w:autoSpaceDN w:val="0"/>
        <w:adjustRightInd w:val="0"/>
        <w:spacing w:line="440" w:lineRule="exact"/>
        <w:ind w:firstLine="141"/>
        <w:jc w:val="center"/>
        <w:rPr>
          <w:rFonts w:asciiTheme="minorEastAsia" w:hAnsiTheme="minorEastAsia" w:eastAsiaTheme="minorEastAsia"/>
          <w:b/>
          <w:bCs/>
          <w:sz w:val="28"/>
          <w:szCs w:val="28"/>
          <w:lang w:val="zh-CN"/>
        </w:rPr>
      </w:pPr>
      <w:r>
        <w:rPr>
          <w:rFonts w:hint="eastAsia" w:cs="宋体" w:asciiTheme="minorEastAsia" w:hAnsiTheme="minorEastAsia" w:eastAsiaTheme="minorEastAsia"/>
          <w:b/>
          <w:bCs/>
          <w:sz w:val="28"/>
          <w:szCs w:val="28"/>
          <w:lang w:val="zh-CN"/>
        </w:rPr>
        <w:t>（六）授予合同</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0.定标准则</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0</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合同将授予投标符合招标文件要求</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并能圆满地履行合同的投标人。</w:t>
      </w:r>
    </w:p>
    <w:p>
      <w:pPr>
        <w:autoSpaceDE w:val="0"/>
        <w:autoSpaceDN w:val="0"/>
        <w:adjustRightInd w:val="0"/>
        <w:spacing w:line="440" w:lineRule="exact"/>
        <w:ind w:firstLine="480" w:firstLineChars="200"/>
        <w:jc w:val="left"/>
        <w:rPr>
          <w:rFonts w:asciiTheme="minorEastAsia" w:hAnsiTheme="minorEastAsia" w:eastAsiaTheme="minorEastAsia"/>
          <w:szCs w:val="24"/>
          <w:lang w:val="zh-CN"/>
        </w:rPr>
      </w:pPr>
      <w:r>
        <w:rPr>
          <w:rFonts w:hint="eastAsia" w:cs="宋体" w:asciiTheme="minorEastAsia" w:hAnsiTheme="minorEastAsia" w:eastAsiaTheme="minorEastAsia"/>
          <w:szCs w:val="24"/>
        </w:rPr>
        <w:t xml:space="preserve">30.2 </w:t>
      </w:r>
      <w:r>
        <w:rPr>
          <w:rFonts w:hint="eastAsia" w:cs="宋体" w:asciiTheme="minorEastAsia" w:hAnsiTheme="minorEastAsia" w:eastAsiaTheme="minorEastAsia"/>
          <w:szCs w:val="24"/>
          <w:lang w:val="zh-CN"/>
        </w:rPr>
        <w:t>不能保证最低报价的投标人最终中标。</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1.资格最终审查</w:t>
      </w:r>
    </w:p>
    <w:p>
      <w:pPr>
        <w:autoSpaceDE w:val="0"/>
        <w:autoSpaceDN w:val="0"/>
        <w:adjustRightInd w:val="0"/>
        <w:spacing w:line="440" w:lineRule="exact"/>
        <w:ind w:firstLine="480" w:firstLineChars="200"/>
        <w:jc w:val="left"/>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1</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招标人将审查</w:t>
      </w:r>
      <w:r>
        <w:rPr>
          <w:rFonts w:hint="eastAsia" w:cs="宋体" w:asciiTheme="minorEastAsia" w:hAnsiTheme="minorEastAsia" w:eastAsiaTheme="minorEastAsia"/>
          <w:szCs w:val="24"/>
        </w:rPr>
        <w:t>中标</w:t>
      </w:r>
      <w:r>
        <w:rPr>
          <w:rFonts w:hint="eastAsia" w:cs="宋体" w:asciiTheme="minorEastAsia" w:hAnsiTheme="minorEastAsia" w:eastAsiaTheme="minorEastAsia"/>
          <w:szCs w:val="24"/>
          <w:lang w:val="zh-CN"/>
        </w:rPr>
        <w:t>候选人的技术、人员、设备、项目实施能力及信誉，确定其是否能圆满的履行合同。</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2.接受和拒绝任何或所有投标人的权力</w:t>
      </w:r>
    </w:p>
    <w:p>
      <w:pPr>
        <w:tabs>
          <w:tab w:val="left" w:pos="570"/>
        </w:tabs>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2</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 xml:space="preserve"> 招标人在授予合同之前仍有选择或拒绝任何或全部投标的权力，并对其所采取的行为不做任何解释。</w:t>
      </w:r>
    </w:p>
    <w:p>
      <w:pPr>
        <w:tabs>
          <w:tab w:val="left" w:pos="735"/>
        </w:tabs>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2</w:t>
      </w:r>
      <w:r>
        <w:rPr>
          <w:rFonts w:cs="宋体" w:asciiTheme="minorEastAsia" w:hAnsiTheme="minorEastAsia" w:eastAsiaTheme="minorEastAsia"/>
          <w:szCs w:val="24"/>
          <w:lang w:val="zh-CN"/>
        </w:rPr>
        <w:t xml:space="preserve">.2  </w:t>
      </w:r>
      <w:r>
        <w:rPr>
          <w:rFonts w:hint="eastAsia" w:cs="宋体" w:asciiTheme="minorEastAsia" w:hAnsiTheme="minorEastAsia" w:eastAsiaTheme="minorEastAsia"/>
          <w:szCs w:val="24"/>
          <w:lang w:val="zh-CN"/>
        </w:rPr>
        <w:t>招标人有权利根据投标人投标文件对招标文件实质性响应的程度决定接受其全部或部分内容的投标。</w:t>
      </w:r>
    </w:p>
    <w:p>
      <w:pPr>
        <w:pStyle w:val="5"/>
        <w:numPr>
          <w:ilvl w:val="0"/>
          <w:numId w:val="0"/>
        </w:numPr>
        <w:spacing w:before="240"/>
        <w:ind w:left="862" w:hanging="862"/>
        <w:rPr>
          <w:rFonts w:asciiTheme="minorEastAsia" w:hAnsiTheme="minorEastAsia" w:eastAsiaTheme="minorEastAsia"/>
          <w:lang w:val="zh-CN"/>
        </w:rPr>
      </w:pPr>
      <w:r>
        <w:rPr>
          <w:rFonts w:hint="eastAsia" w:asciiTheme="minorEastAsia" w:hAnsiTheme="minorEastAsia" w:eastAsiaTheme="minorEastAsia"/>
          <w:lang w:val="zh-CN"/>
        </w:rPr>
        <w:t>33.中标通知</w:t>
      </w:r>
    </w:p>
    <w:p>
      <w:pPr>
        <w:tabs>
          <w:tab w:val="left" w:pos="735"/>
        </w:tabs>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3</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评标结束后，中标结果在</w:t>
      </w:r>
      <w:r>
        <w:rPr>
          <w:rFonts w:cs="宋体" w:asciiTheme="minorEastAsia" w:hAnsiTheme="minorEastAsia" w:eastAsiaTheme="minorEastAsia"/>
          <w:szCs w:val="24"/>
          <w:lang w:val="zh-CN"/>
        </w:rPr>
        <w:t>7</w:t>
      </w:r>
      <w:r>
        <w:rPr>
          <w:rFonts w:hint="eastAsia" w:cs="宋体" w:asciiTheme="minorEastAsia" w:hAnsiTheme="minorEastAsia" w:eastAsiaTheme="minorEastAsia"/>
          <w:szCs w:val="24"/>
          <w:lang w:val="zh-CN"/>
        </w:rPr>
        <w:t>个工作日内招标人将依法以书面形式向中标人发出《中标通知书》。《中标通知书》一经发出即发生法律效力，对招标人和中标人具有同等的法律效力。</w:t>
      </w:r>
    </w:p>
    <w:p>
      <w:pPr>
        <w:tabs>
          <w:tab w:val="left" w:pos="735"/>
        </w:tabs>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3</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2  招标人无须向落标方解释落标的原因，也不退还其投标文件。</w:t>
      </w:r>
    </w:p>
    <w:p>
      <w:pPr>
        <w:tabs>
          <w:tab w:val="left" w:pos="735"/>
        </w:tabs>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3</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3 《中标通知书》将作为签订合同的依据，没有签发中标通知书就签署合同的，合同一律无效。</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4.授予合同变更数量的权力</w:t>
      </w:r>
    </w:p>
    <w:p>
      <w:pPr>
        <w:tabs>
          <w:tab w:val="left" w:pos="735"/>
        </w:tabs>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4</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招标人在授予合同时</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有权对招标文件中招标内容的数量和服务予以增加或减少。</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5.签订合同</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中标人将按《中标通知书》所指定的时间、地点与招标人签定经济合同。</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5</w:t>
      </w:r>
      <w:r>
        <w:rPr>
          <w:rFonts w:cs="宋体" w:asciiTheme="minorEastAsia" w:hAnsiTheme="minorEastAsia" w:eastAsiaTheme="minorEastAsia"/>
          <w:szCs w:val="24"/>
          <w:lang w:val="zh-CN"/>
        </w:rPr>
        <w:t xml:space="preserve">.2 </w:t>
      </w:r>
      <w:r>
        <w:rPr>
          <w:rFonts w:hint="eastAsia" w:cs="宋体" w:asciiTheme="minorEastAsia" w:hAnsiTheme="minorEastAsia" w:eastAsiaTheme="minorEastAsia"/>
          <w:szCs w:val="24"/>
          <w:lang w:val="zh-CN"/>
        </w:rPr>
        <w:t>招标文件、中标人的投标文件及澄清文件等，均为签定经济合同的依据。</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6.腐败、欺诈行为</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6．</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定义</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hint="eastAsia" w:cs="宋体" w:asciiTheme="minorEastAsia" w:hAnsiTheme="minorEastAsia" w:eastAsiaTheme="minorEastAsia"/>
          <w:szCs w:val="24"/>
          <w:lang w:val="zh-CN"/>
        </w:rPr>
        <w:t>（</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腐败行为</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是指提供、给予、接受或索取任何有价值的东西来影响评标委员会在评标过程中的行为，以及影响招标人在合同实施过程中的行为；</w:t>
      </w:r>
    </w:p>
    <w:p>
      <w:pPr>
        <w:autoSpaceDE w:val="0"/>
        <w:autoSpaceDN w:val="0"/>
        <w:adjustRightInd w:val="0"/>
        <w:spacing w:line="440" w:lineRule="exact"/>
        <w:ind w:firstLine="480" w:firstLineChars="200"/>
        <w:rPr>
          <w:rFonts w:asciiTheme="minorEastAsia" w:hAnsiTheme="minorEastAsia" w:eastAsiaTheme="minorEastAsia"/>
          <w:szCs w:val="24"/>
          <w:lang w:val="zh-CN"/>
        </w:rPr>
      </w:pPr>
      <w:r>
        <w:rPr>
          <w:rFonts w:hint="eastAsia" w:cs="宋体" w:asciiTheme="minorEastAsia" w:hAnsiTheme="minorEastAsia" w:eastAsiaTheme="minorEastAsia"/>
          <w:szCs w:val="24"/>
          <w:lang w:val="zh-CN"/>
        </w:rPr>
        <w:t>（</w:t>
      </w:r>
      <w:r>
        <w:rPr>
          <w:rFonts w:cs="宋体" w:asciiTheme="minorEastAsia" w:hAnsiTheme="minorEastAsia" w:eastAsiaTheme="minorEastAsia"/>
          <w:szCs w:val="24"/>
          <w:lang w:val="zh-CN"/>
        </w:rPr>
        <w:t>2</w:t>
      </w:r>
      <w:r>
        <w:rPr>
          <w:rFonts w:hint="eastAsia" w:cs="宋体" w:asciiTheme="minorEastAsia" w:hAnsiTheme="minorEastAsia" w:eastAsiaTheme="minorEastAsia"/>
          <w:szCs w:val="24"/>
          <w:lang w:val="zh-CN"/>
        </w:rPr>
        <w:t>）</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欺诈行为</w:t>
      </w:r>
      <w:r>
        <w:rPr>
          <w:rFonts w:asciiTheme="minorEastAsia" w:hAnsiTheme="minorEastAsia" w:eastAsiaTheme="minorEastAsia"/>
          <w:szCs w:val="24"/>
          <w:lang w:val="zh-CN"/>
        </w:rPr>
        <w:t>”</w:t>
      </w:r>
      <w:r>
        <w:rPr>
          <w:rFonts w:hint="eastAsia" w:cs="宋体" w:asciiTheme="minorEastAsia" w:hAnsiTheme="minorEastAsia" w:eastAsiaTheme="minorEastAsia"/>
          <w:szCs w:val="24"/>
          <w:lang w:val="zh-CN"/>
        </w:rPr>
        <w:t>是指为了影响评标过程或合同实施过程而谎报事实，损害招标人利益，包括投标人之间串通投标，人为地使投标丧失竞争性。</w:t>
      </w:r>
    </w:p>
    <w:p>
      <w:pPr>
        <w:pStyle w:val="5"/>
        <w:numPr>
          <w:ilvl w:val="0"/>
          <w:numId w:val="0"/>
        </w:numPr>
        <w:spacing w:before="240"/>
        <w:ind w:left="862" w:hanging="862"/>
        <w:rPr>
          <w:rFonts w:asciiTheme="minorEastAsia" w:hAnsiTheme="minorEastAsia" w:eastAsiaTheme="minorEastAsia"/>
          <w:lang w:val="zh-CN"/>
        </w:rPr>
      </w:pPr>
      <w:r>
        <w:rPr>
          <w:rFonts w:asciiTheme="minorEastAsia" w:hAnsiTheme="minorEastAsia" w:eastAsiaTheme="minorEastAsia"/>
          <w:lang w:val="zh-CN"/>
        </w:rPr>
        <w:t>3</w:t>
      </w:r>
      <w:r>
        <w:rPr>
          <w:rFonts w:hint="eastAsia" w:asciiTheme="minorEastAsia" w:hAnsiTheme="minorEastAsia" w:eastAsiaTheme="minorEastAsia"/>
          <w:lang w:val="zh-CN"/>
        </w:rPr>
        <w:t>7.质疑与投诉</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cs="宋体" w:asciiTheme="minorEastAsia" w:hAnsiTheme="minorEastAsia" w:eastAsiaTheme="minorEastAsia"/>
          <w:szCs w:val="24"/>
          <w:lang w:val="zh-CN"/>
        </w:rPr>
        <w:t>3</w:t>
      </w:r>
      <w:r>
        <w:rPr>
          <w:rFonts w:hint="eastAsia" w:cs="宋体" w:asciiTheme="minorEastAsia" w:hAnsiTheme="minorEastAsia" w:eastAsiaTheme="minorEastAsia"/>
          <w:szCs w:val="24"/>
          <w:lang w:val="zh-CN"/>
        </w:rPr>
        <w:t>7</w:t>
      </w:r>
      <w:r>
        <w:rPr>
          <w:rFonts w:cs="宋体" w:asciiTheme="minorEastAsia" w:hAnsiTheme="minorEastAsia" w:eastAsiaTheme="minorEastAsia"/>
          <w:szCs w:val="24"/>
          <w:lang w:val="zh-CN"/>
        </w:rPr>
        <w:t xml:space="preserve">.1 </w:t>
      </w:r>
      <w:r>
        <w:rPr>
          <w:rFonts w:hint="eastAsia" w:cs="宋体" w:asciiTheme="minorEastAsia" w:hAnsiTheme="minorEastAsia" w:eastAsiaTheme="minorEastAsia"/>
          <w:szCs w:val="24"/>
          <w:lang w:val="zh-CN"/>
        </w:rPr>
        <w:t>投标人认为招标文件、招标过程、中标和成交结果使自己的合法权益受到损害的，可依法首先向招标人提出质疑，对招标人的质疑答复不满意或招标人未在规定期限内作出答复的，投标人可向招标人上级纪检监察部门投诉，逾期未作处理的</w:t>
      </w:r>
      <w:r>
        <w:rPr>
          <w:rFonts w:cs="宋体" w:asciiTheme="minorEastAsia" w:hAnsiTheme="minorEastAsia" w:eastAsiaTheme="minorEastAsia"/>
          <w:szCs w:val="24"/>
          <w:lang w:val="zh-CN"/>
        </w:rPr>
        <w:t>,</w:t>
      </w:r>
      <w:r>
        <w:rPr>
          <w:rFonts w:hint="eastAsia" w:cs="宋体" w:asciiTheme="minorEastAsia" w:hAnsiTheme="minorEastAsia" w:eastAsiaTheme="minorEastAsia"/>
          <w:szCs w:val="24"/>
          <w:lang w:val="zh-CN"/>
        </w:rPr>
        <w:t>可依法向当地的人民法院提起行政诉讼。</w:t>
      </w:r>
    </w:p>
    <w:p>
      <w:pPr>
        <w:autoSpaceDE w:val="0"/>
        <w:autoSpaceDN w:val="0"/>
        <w:adjustRightInd w:val="0"/>
        <w:spacing w:line="440" w:lineRule="exact"/>
        <w:ind w:firstLine="480" w:firstLineChars="200"/>
        <w:rPr>
          <w:rFonts w:cs="宋体" w:asciiTheme="minorEastAsia" w:hAnsiTheme="minorEastAsia" w:eastAsiaTheme="minorEastAsia"/>
          <w:szCs w:val="24"/>
          <w:lang w:val="zh-CN"/>
        </w:rPr>
      </w:pPr>
      <w:r>
        <w:rPr>
          <w:rFonts w:hint="eastAsia" w:cs="宋体" w:asciiTheme="minorEastAsia" w:hAnsiTheme="minorEastAsia" w:eastAsiaTheme="minorEastAsia"/>
          <w:szCs w:val="24"/>
          <w:lang w:val="zh-CN"/>
        </w:rPr>
        <w:t>37.2 举报电话</w:t>
      </w:r>
    </w:p>
    <w:p>
      <w:pPr>
        <w:autoSpaceDE w:val="0"/>
        <w:autoSpaceDN w:val="0"/>
        <w:adjustRightInd w:val="0"/>
        <w:spacing w:line="440" w:lineRule="exact"/>
        <w:ind w:left="480" w:leftChars="200"/>
        <w:rPr>
          <w:rFonts w:cs="宋体" w:asciiTheme="minorEastAsia" w:hAnsiTheme="minorEastAsia" w:eastAsiaTheme="minorEastAsia"/>
          <w:szCs w:val="24"/>
        </w:rPr>
      </w:pPr>
      <w:r>
        <w:rPr>
          <w:rFonts w:cs="宋体" w:asciiTheme="minorEastAsia" w:hAnsiTheme="minorEastAsia" w:eastAsiaTheme="minorEastAsia"/>
          <w:szCs w:val="24"/>
          <w:lang w:val="zh-CN"/>
        </w:rPr>
        <w:t>投诉举报电话</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09916272822。</w:t>
      </w:r>
      <w:r>
        <w:rPr>
          <w:rFonts w:cs="宋体" w:asciiTheme="minorEastAsia" w:hAnsiTheme="minorEastAsia" w:eastAsiaTheme="minorEastAsia"/>
          <w:szCs w:val="24"/>
        </w:rPr>
        <w:br w:type="textWrapping"/>
      </w:r>
    </w:p>
    <w:p>
      <w:pPr>
        <w:pStyle w:val="5"/>
        <w:numPr>
          <w:ilvl w:val="0"/>
          <w:numId w:val="0"/>
        </w:numPr>
        <w:spacing w:before="240"/>
        <w:ind w:left="862" w:hanging="862"/>
        <w:rPr>
          <w:rFonts w:asciiTheme="minorEastAsia" w:hAnsiTheme="minorEastAsia" w:eastAsiaTheme="minorEastAsia"/>
          <w:lang w:val="zh-CN"/>
        </w:rPr>
      </w:pPr>
      <w:r>
        <w:rPr>
          <w:rFonts w:hint="eastAsia" w:asciiTheme="minorEastAsia" w:hAnsiTheme="minorEastAsia" w:eastAsiaTheme="minorEastAsia"/>
          <w:lang w:val="zh-CN"/>
        </w:rPr>
        <w:t>38.其他事项</w:t>
      </w:r>
    </w:p>
    <w:p>
      <w:pPr>
        <w:autoSpaceDE w:val="0"/>
        <w:autoSpaceDN w:val="0"/>
        <w:adjustRightInd w:val="0"/>
        <w:spacing w:line="440" w:lineRule="exact"/>
        <w:ind w:firstLine="480" w:firstLineChars="200"/>
        <w:rPr>
          <w:rFonts w:asciiTheme="minorEastAsia" w:hAnsiTheme="minorEastAsia" w:eastAsiaTheme="minorEastAsia"/>
          <w:lang w:val="zh-CN"/>
        </w:rPr>
      </w:pPr>
      <w:r>
        <w:rPr>
          <w:rFonts w:hint="eastAsia" w:cs="宋体" w:asciiTheme="minorEastAsia" w:hAnsiTheme="minorEastAsia" w:eastAsiaTheme="minorEastAsia"/>
          <w:szCs w:val="24"/>
          <w:lang w:val="zh-CN"/>
        </w:rPr>
        <w:t>38</w:t>
      </w:r>
      <w:r>
        <w:rPr>
          <w:rFonts w:cs="宋体" w:asciiTheme="minorEastAsia" w:hAnsiTheme="minorEastAsia" w:eastAsiaTheme="minorEastAsia"/>
          <w:szCs w:val="24"/>
          <w:lang w:val="zh-CN"/>
        </w:rPr>
        <w:t>.1</w:t>
      </w:r>
      <w:r>
        <w:rPr>
          <w:rFonts w:hint="eastAsia" w:cs="宋体" w:asciiTheme="minorEastAsia" w:hAnsiTheme="minorEastAsia" w:eastAsiaTheme="minorEastAsia"/>
          <w:szCs w:val="24"/>
          <w:lang w:val="zh-CN"/>
        </w:rPr>
        <w:t xml:space="preserve">  本招标文件的未尽事宜，将按照《中华人民共和国招标投标法》、《中华人民共和国招标投标法实施条例》等有关法律、法规的要求，在签定合同时协商处理。</w:t>
      </w:r>
    </w:p>
    <w:p>
      <w:pPr>
        <w:spacing w:line="440" w:lineRule="exac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4"/>
        <w:numPr>
          <w:ilvl w:val="0"/>
          <w:numId w:val="0"/>
        </w:numPr>
        <w:ind w:firstLine="2409" w:firstLineChars="750"/>
        <w:rPr>
          <w:rFonts w:asciiTheme="minorEastAsia" w:hAnsiTheme="minorEastAsia" w:eastAsiaTheme="minorEastAsia"/>
        </w:rPr>
      </w:pPr>
      <w:r>
        <w:rPr>
          <w:rFonts w:hint="eastAsia" w:asciiTheme="minorEastAsia" w:hAnsiTheme="minorEastAsia" w:eastAsiaTheme="minorEastAsia"/>
        </w:rPr>
        <w:t>第三部分项目要求</w:t>
      </w:r>
    </w:p>
    <w:p>
      <w:pPr>
        <w:pStyle w:val="45"/>
        <w:adjustRightInd w:val="0"/>
        <w:snapToGrid w:val="0"/>
        <w:spacing w:beforeLines="50" w:afterLines="50" w:line="360" w:lineRule="auto"/>
        <w:ind w:firstLine="0" w:firstLineChars="0"/>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一、咨询服务内容</w:t>
      </w:r>
    </w:p>
    <w:p>
      <w:pPr>
        <w:pStyle w:val="45"/>
        <w:adjustRightInd w:val="0"/>
        <w:snapToGrid w:val="0"/>
        <w:spacing w:beforeLines="50" w:afterLines="50" w:line="360" w:lineRule="auto"/>
        <w:ind w:firstLine="0" w:firstLineChars="0"/>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（一）基础服务工作</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1、日常咨询服务工作</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1）政策咨询和解读、法律法规咨询（包括但不限于PPP、F+EPC、ABO、片区开发、产城融合、“煤改电”、通用航空、土地综合整治等领域）。</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2）重点关注区域及市场环境分析。根据项目实际情况，对项目所在地城市投资环境、宏观经济数据、产业结构、土地市场、房地产市场等进行分析。</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3）协助新疆交建进行项目考察和沟通汇报，编写汇报材料。数量不超过12个。</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4）项目合作服务。根据新疆交建自身参与的投资服务项目的具体需求，进行项目推介工作。</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5）</w:t>
      </w:r>
      <w:r>
        <w:rPr>
          <w:rFonts w:asciiTheme="minorEastAsia" w:hAnsiTheme="minorEastAsia" w:eastAsiaTheme="minorEastAsia"/>
          <w:bCs/>
          <w:szCs w:val="24"/>
        </w:rPr>
        <w:t>融资服务工作。针对新疆交建的融资工作提供优化建议和远程协作</w:t>
      </w:r>
      <w:r>
        <w:rPr>
          <w:rFonts w:hint="eastAsia" w:asciiTheme="minorEastAsia" w:hAnsiTheme="minorEastAsia" w:eastAsiaTheme="minorEastAsia"/>
          <w:bCs/>
          <w:szCs w:val="24"/>
        </w:rPr>
        <w:t>。</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6）</w:t>
      </w:r>
      <w:r>
        <w:rPr>
          <w:rFonts w:asciiTheme="minorEastAsia" w:hAnsiTheme="minorEastAsia" w:eastAsiaTheme="minorEastAsia"/>
          <w:bCs/>
          <w:szCs w:val="24"/>
        </w:rPr>
        <w:t>根据新疆交建业务布局定制化培训内容，满足业务发展需求。</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7）提</w:t>
      </w:r>
      <w:r>
        <w:rPr>
          <w:rFonts w:asciiTheme="minorEastAsia" w:hAnsiTheme="minorEastAsia" w:eastAsiaTheme="minorEastAsia"/>
          <w:bCs/>
          <w:szCs w:val="24"/>
        </w:rPr>
        <w:t>供合同签订期间</w:t>
      </w:r>
      <w:r>
        <w:rPr>
          <w:rFonts w:hint="eastAsia" w:asciiTheme="minorEastAsia" w:hAnsiTheme="minorEastAsia" w:eastAsiaTheme="minorEastAsia"/>
          <w:bCs/>
          <w:szCs w:val="24"/>
        </w:rPr>
        <w:t>中标咨询</w:t>
      </w:r>
      <w:r>
        <w:rPr>
          <w:rFonts w:asciiTheme="minorEastAsia" w:hAnsiTheme="minorEastAsia" w:eastAsiaTheme="minorEastAsia"/>
          <w:bCs/>
          <w:szCs w:val="24"/>
        </w:rPr>
        <w:t>公司开展的培训</w:t>
      </w:r>
      <w:r>
        <w:rPr>
          <w:rFonts w:hint="eastAsia" w:asciiTheme="minorEastAsia" w:hAnsiTheme="minorEastAsia" w:eastAsiaTheme="minorEastAsia"/>
          <w:bCs/>
          <w:szCs w:val="24"/>
        </w:rPr>
        <w:t>课程</w:t>
      </w:r>
      <w:r>
        <w:rPr>
          <w:rFonts w:asciiTheme="minorEastAsia" w:hAnsiTheme="minorEastAsia" w:eastAsiaTheme="minorEastAsia"/>
          <w:bCs/>
          <w:szCs w:val="24"/>
        </w:rPr>
        <w:t>以及</w:t>
      </w:r>
      <w:r>
        <w:rPr>
          <w:rFonts w:hint="eastAsia" w:asciiTheme="minorEastAsia" w:hAnsiTheme="minorEastAsia" w:eastAsiaTheme="minorEastAsia"/>
          <w:bCs/>
          <w:szCs w:val="24"/>
        </w:rPr>
        <w:t>培训资料、</w:t>
      </w:r>
      <w:r>
        <w:rPr>
          <w:rFonts w:asciiTheme="minorEastAsia" w:hAnsiTheme="minorEastAsia" w:eastAsiaTheme="minorEastAsia"/>
          <w:bCs/>
          <w:szCs w:val="24"/>
        </w:rPr>
        <w:t>网课资源。</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2、项目合作模式初步建议</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针对新疆</w:t>
      </w:r>
      <w:r>
        <w:rPr>
          <w:rFonts w:asciiTheme="minorEastAsia" w:hAnsiTheme="minorEastAsia" w:eastAsiaTheme="minorEastAsia"/>
          <w:bCs/>
          <w:szCs w:val="24"/>
        </w:rPr>
        <w:t>交建</w:t>
      </w:r>
      <w:r>
        <w:rPr>
          <w:rFonts w:hint="eastAsia" w:asciiTheme="minorEastAsia" w:hAnsiTheme="minorEastAsia" w:eastAsiaTheme="minorEastAsia"/>
          <w:bCs/>
          <w:szCs w:val="24"/>
        </w:rPr>
        <w:t>日常跟踪项目，结合政府方提供的项目方案及其他项目资料，提出合作模式与实施路径的合理建议，出具书面材料。</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3、项目投资可行性初步分析</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针对项目提供的相关资料，进行财务评估和初步的投资可行性分析。包括编制财务模型、测算财务指标、对项目可行性进行初步分析等。项目数量不超过18个。</w:t>
      </w:r>
    </w:p>
    <w:p>
      <w:pPr>
        <w:pStyle w:val="45"/>
        <w:adjustRightInd w:val="0"/>
        <w:snapToGrid w:val="0"/>
        <w:spacing w:beforeLines="50" w:afterLines="50" w:line="360" w:lineRule="auto"/>
        <w:ind w:firstLine="0" w:firstLineChars="0"/>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（二）重点项目投顾服务工作</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针对</w:t>
      </w:r>
      <w:r>
        <w:rPr>
          <w:rFonts w:asciiTheme="minorEastAsia" w:hAnsiTheme="minorEastAsia" w:eastAsiaTheme="minorEastAsia"/>
          <w:bCs/>
          <w:szCs w:val="24"/>
        </w:rPr>
        <w:t>新疆交建</w:t>
      </w:r>
      <w:r>
        <w:rPr>
          <w:rFonts w:hint="eastAsia" w:asciiTheme="minorEastAsia" w:hAnsiTheme="minorEastAsia" w:eastAsiaTheme="minorEastAsia"/>
          <w:bCs/>
          <w:szCs w:val="24"/>
        </w:rPr>
        <w:t>重点跟踪的投资项目，同时跟踪项目原则上不超过3个，中标方提供：</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1、项目尽调评估</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开展项目尽职调查工作，充分理解项目需求和项目客观情况，以掌握项目的基本信息。主要包括：</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1）法规政策体系：主要包括土地政策、产业发展政策、建设管理政策、本地财政政策和规划政策等采集分析工作；</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2）规划调研：包括项目边界内的概念性规划、产业规划、控制性详细规划、城市设计，法定规划中片区功能和各项规划指标，专项规划中各类设施和项目；</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3）现状调研：主要包括本项目区域一般农田和基本农田用地分布、涉及拆迁村庄、保留用地、各街道辖区人口、项目周边房地产市场、项目周边经营性用地市场等情况。</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2、投资模式设计</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1）完善项目合作开发模式、锁定项目回报来源、合理设计资金支付条件；</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2）进行项目滚动开发的初步安排，科学拟定投资建设时序，降低投资风险；</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3）协助向政府方做投资模式的解释和推介。</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3、投资可行性评估</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1）对规划及目标区域现状进行系统性梳理和盘整。主要包括土地使用现状、规划建设项目、可出让土地资源、可经营性设施等，对区域未来政府可支配财力和资产进行统计分析；</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2）以目标区域的规划条件、中长期及近期建设目标为基础，合理设计开发建设时序及土地出让时序；</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3）通过建立静态和动态财务模型，对区域未来投资收益情况进行整体评估，为项目的可行性和可落地性提供决策参考；</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4）通过设计区域产出与建设投资的匹配关系，保障整体开发的可持续性，并考虑满足企业的投资财务要求。</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4、项目内部投审</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按照</w:t>
      </w:r>
      <w:r>
        <w:rPr>
          <w:rFonts w:asciiTheme="minorEastAsia" w:hAnsiTheme="minorEastAsia" w:eastAsiaTheme="minorEastAsia"/>
          <w:bCs/>
          <w:szCs w:val="24"/>
        </w:rPr>
        <w:t>新疆交建</w:t>
      </w:r>
      <w:r>
        <w:rPr>
          <w:rFonts w:hint="eastAsia" w:asciiTheme="minorEastAsia" w:hAnsiTheme="minorEastAsia" w:eastAsiaTheme="minorEastAsia"/>
          <w:bCs/>
          <w:szCs w:val="24"/>
        </w:rPr>
        <w:t>的投资要求，编制内部上会的立项可研和投资可研，并协助向投审会汇报。</w:t>
      </w:r>
    </w:p>
    <w:p>
      <w:pPr>
        <w:pStyle w:val="45"/>
        <w:adjustRightInd w:val="0"/>
        <w:snapToGrid w:val="0"/>
        <w:spacing w:beforeLines="50" w:afterLines="50" w:line="360" w:lineRule="auto"/>
        <w:ind w:firstLine="482"/>
        <w:rPr>
          <w:rFonts w:asciiTheme="minorEastAsia" w:hAnsiTheme="minorEastAsia" w:eastAsiaTheme="minorEastAsia"/>
          <w:b/>
          <w:szCs w:val="24"/>
        </w:rPr>
      </w:pPr>
      <w:r>
        <w:rPr>
          <w:rFonts w:hint="eastAsia" w:asciiTheme="minorEastAsia" w:hAnsiTheme="minorEastAsia" w:eastAsiaTheme="minorEastAsia"/>
          <w:b/>
          <w:szCs w:val="24"/>
        </w:rPr>
        <w:t>5、项目推进服务</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1）协助草拟给政府方的各类专业文件。对政府提出的实施方案及合同等提出分析反馈意见，并针对合作过程中的重要节点和事项以及投资协议的相关内容，协助</w:t>
      </w:r>
      <w:r>
        <w:rPr>
          <w:rFonts w:asciiTheme="minorEastAsia" w:hAnsiTheme="minorEastAsia" w:eastAsiaTheme="minorEastAsia"/>
          <w:bCs/>
          <w:szCs w:val="24"/>
        </w:rPr>
        <w:t>疆交建</w:t>
      </w:r>
      <w:r>
        <w:rPr>
          <w:rFonts w:hint="eastAsia" w:asciiTheme="minorEastAsia" w:hAnsiTheme="minorEastAsia" w:eastAsiaTheme="minorEastAsia"/>
          <w:bCs/>
          <w:szCs w:val="24"/>
        </w:rPr>
        <w:t>完草拟各类专业文件提供给政府方进行解释说明；</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2）协助</w:t>
      </w:r>
      <w:r>
        <w:rPr>
          <w:rFonts w:asciiTheme="minorEastAsia" w:hAnsiTheme="minorEastAsia" w:eastAsiaTheme="minorEastAsia"/>
          <w:bCs/>
          <w:szCs w:val="24"/>
        </w:rPr>
        <w:t>新疆交建</w:t>
      </w:r>
      <w:r>
        <w:rPr>
          <w:rFonts w:hint="eastAsia" w:asciiTheme="minorEastAsia" w:hAnsiTheme="minorEastAsia" w:eastAsiaTheme="minorEastAsia"/>
          <w:bCs/>
          <w:szCs w:val="24"/>
        </w:rPr>
        <w:t>完成项目投标。协助</w:t>
      </w:r>
      <w:r>
        <w:rPr>
          <w:rFonts w:asciiTheme="minorEastAsia" w:hAnsiTheme="minorEastAsia" w:eastAsiaTheme="minorEastAsia"/>
          <w:bCs/>
          <w:szCs w:val="24"/>
        </w:rPr>
        <w:t>新疆交建</w:t>
      </w:r>
      <w:r>
        <w:rPr>
          <w:rFonts w:hint="eastAsia" w:asciiTheme="minorEastAsia" w:hAnsiTheme="minorEastAsia" w:eastAsiaTheme="minorEastAsia"/>
          <w:bCs/>
          <w:szCs w:val="24"/>
        </w:rPr>
        <w:t>与政府方沟通确定项目的采购程序，对项目合作方案、合同等提供分析反馈意见，并协助</w:t>
      </w:r>
      <w:r>
        <w:rPr>
          <w:rFonts w:asciiTheme="minorEastAsia" w:hAnsiTheme="minorEastAsia" w:eastAsiaTheme="minorEastAsia"/>
          <w:bCs/>
          <w:szCs w:val="24"/>
        </w:rPr>
        <w:t>新疆交建</w:t>
      </w:r>
      <w:r>
        <w:rPr>
          <w:rFonts w:hint="eastAsia" w:asciiTheme="minorEastAsia" w:hAnsiTheme="minorEastAsia" w:eastAsiaTheme="minorEastAsia"/>
          <w:bCs/>
          <w:szCs w:val="24"/>
        </w:rPr>
        <w:t>编制投标文件的商务和财务部分相关内容；</w:t>
      </w:r>
    </w:p>
    <w:p>
      <w:pPr>
        <w:pStyle w:val="45"/>
        <w:adjustRightInd w:val="0"/>
        <w:snapToGrid w:val="0"/>
        <w:spacing w:beforeLines="50" w:afterLines="50" w:line="360" w:lineRule="auto"/>
        <w:ind w:firstLine="480"/>
        <w:rPr>
          <w:rFonts w:asciiTheme="minorEastAsia" w:hAnsiTheme="minorEastAsia" w:eastAsiaTheme="minorEastAsia"/>
          <w:bCs/>
          <w:szCs w:val="24"/>
        </w:rPr>
      </w:pPr>
      <w:r>
        <w:rPr>
          <w:rFonts w:hint="eastAsia" w:asciiTheme="minorEastAsia" w:hAnsiTheme="minorEastAsia" w:eastAsiaTheme="minorEastAsia"/>
          <w:bCs/>
          <w:szCs w:val="24"/>
        </w:rPr>
        <w:t>3）协助编制《投资合作协议》及合同谈判工作。</w:t>
      </w:r>
    </w:p>
    <w:p>
      <w:pPr>
        <w:pStyle w:val="45"/>
        <w:adjustRightInd w:val="0"/>
        <w:snapToGrid w:val="0"/>
        <w:spacing w:beforeLines="50" w:afterLines="50" w:line="360" w:lineRule="auto"/>
        <w:ind w:firstLine="0" w:firstLineChars="0"/>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二、服务周期：</w:t>
      </w:r>
      <w:r>
        <w:rPr>
          <w:rFonts w:hint="eastAsia" w:asciiTheme="minorEastAsia" w:hAnsiTheme="minorEastAsia" w:eastAsiaTheme="minorEastAsia"/>
          <w:bCs/>
          <w:szCs w:val="24"/>
        </w:rPr>
        <w:t>服务周期为合同签订之日起一年。</w:t>
      </w:r>
    </w:p>
    <w:p>
      <w:pPr>
        <w:pStyle w:val="45"/>
        <w:adjustRightInd w:val="0"/>
        <w:snapToGrid w:val="0"/>
        <w:spacing w:beforeLines="50" w:afterLines="50" w:line="360" w:lineRule="auto"/>
        <w:ind w:firstLine="0" w:firstLineChars="0"/>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三、咨询服务费用支付方式</w:t>
      </w:r>
    </w:p>
    <w:p>
      <w:pPr>
        <w:pStyle w:val="22"/>
        <w:spacing w:beforeLines="50" w:beforeAutospacing="0" w:afterLines="50" w:afterAutospacing="0" w:line="360" w:lineRule="auto"/>
        <w:jc w:val="both"/>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（一）基础服务工作咨询服务费</w:t>
      </w:r>
    </w:p>
    <w:p>
      <w:pPr>
        <w:pStyle w:val="48"/>
        <w:spacing w:beforeLines="50" w:afterLines="50"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根据工作进度按季度拨付，第一季度的服务费在本合同签订后一周内支付，后续的季度服务费在每个季度开始后一周内支付。</w:t>
      </w:r>
    </w:p>
    <w:p>
      <w:pPr>
        <w:pStyle w:val="22"/>
        <w:spacing w:beforeLines="50" w:beforeAutospacing="0" w:afterLines="50" w:afterAutospacing="0" w:line="360" w:lineRule="auto"/>
        <w:jc w:val="both"/>
        <w:rPr>
          <w:rFonts w:cs="Times New Roman" w:asciiTheme="minorEastAsia" w:hAnsiTheme="minorEastAsia" w:eastAsiaTheme="minorEastAsia"/>
          <w:b/>
          <w:kern w:val="2"/>
        </w:rPr>
      </w:pPr>
      <w:r>
        <w:rPr>
          <w:rFonts w:hint="eastAsia" w:cs="Times New Roman" w:asciiTheme="minorEastAsia" w:hAnsiTheme="minorEastAsia" w:eastAsiaTheme="minorEastAsia"/>
          <w:b/>
          <w:kern w:val="2"/>
        </w:rPr>
        <w:t>（二）项目投顾服务费</w:t>
      </w:r>
    </w:p>
    <w:p>
      <w:pPr>
        <w:pStyle w:val="48"/>
        <w:spacing w:beforeLines="50" w:afterLines="50"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（1）投资顾问咨询服务合同签订之日起十个工作日内，新疆交建向中标人支付咨询服务费的20%；</w:t>
      </w:r>
    </w:p>
    <w:p>
      <w:pPr>
        <w:pStyle w:val="48"/>
        <w:spacing w:beforeLines="50" w:afterLines="50"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（2）在项目推进过程中，提交投资可行性研究报告后，甲方向乙方支付咨询服务费的20%；</w:t>
      </w:r>
    </w:p>
    <w:p>
      <w:pPr>
        <w:pStyle w:val="48"/>
        <w:spacing w:beforeLines="50" w:afterLines="50"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（3）项目招标公告挂网后的十个工作日内，甲方向乙方支付咨询服务费的30%；</w:t>
      </w:r>
    </w:p>
    <w:p>
      <w:pPr>
        <w:pStyle w:val="48"/>
        <w:spacing w:beforeLines="50" w:afterLines="50"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（4）项目签署投资合作协议后十个工作日内，甲方向乙方支付咨询服务费的30%。</w:t>
      </w:r>
    </w:p>
    <w:p>
      <w:pPr>
        <w:pStyle w:val="48"/>
        <w:spacing w:beforeLines="50" w:afterLines="50" w:line="360" w:lineRule="auto"/>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具体支付金额及支付方式在另行签署的投资顾问咨询服务合同中约定。</w:t>
      </w:r>
    </w:p>
    <w:p>
      <w:pPr>
        <w:spacing w:line="360" w:lineRule="auto"/>
        <w:rPr>
          <w:rFonts w:asciiTheme="minorEastAsia" w:hAnsiTheme="minorEastAsia" w:eastAsiaTheme="minorEastAsia"/>
          <w:szCs w:val="24"/>
        </w:rPr>
      </w:pPr>
    </w:p>
    <w:p>
      <w:pPr>
        <w:spacing w:line="480" w:lineRule="exact"/>
        <w:rPr>
          <w:rFonts w:asciiTheme="minorEastAsia" w:hAnsiTheme="minorEastAsia" w:eastAsiaTheme="minorEastAsia"/>
        </w:rPr>
      </w:pPr>
    </w:p>
    <w:p>
      <w:pPr>
        <w:spacing w:line="480" w:lineRule="exact"/>
        <w:rPr>
          <w:rFonts w:asciiTheme="minorEastAsia" w:hAnsiTheme="minorEastAsia" w:eastAsiaTheme="minorEastAsia"/>
        </w:rPr>
      </w:pPr>
    </w:p>
    <w:p>
      <w:pPr>
        <w:spacing w:line="480" w:lineRule="exact"/>
        <w:rPr>
          <w:rFonts w:asciiTheme="minorEastAsia" w:hAnsiTheme="minorEastAsia" w:eastAsiaTheme="minorEastAsia"/>
        </w:rPr>
      </w:pPr>
      <w:r>
        <w:rPr>
          <w:rFonts w:asciiTheme="minorEastAsia" w:hAnsiTheme="minorEastAsia" w:eastAsiaTheme="minorEastAsia"/>
          <w:szCs w:val="24"/>
        </w:rPr>
        <w:br w:type="page"/>
      </w:r>
    </w:p>
    <w:p>
      <w:pPr>
        <w:pStyle w:val="4"/>
        <w:numPr>
          <w:ilvl w:val="0"/>
          <w:numId w:val="0"/>
        </w:numPr>
        <w:ind w:left="720" w:leftChars="300" w:firstLine="643" w:firstLineChars="200"/>
        <w:jc w:val="center"/>
        <w:rPr>
          <w:rFonts w:asciiTheme="minorEastAsia" w:hAnsiTheme="minorEastAsia" w:eastAsiaTheme="minorEastAsia"/>
        </w:rPr>
      </w:pPr>
      <w:r>
        <w:rPr>
          <w:rFonts w:hint="eastAsia" w:asciiTheme="minorEastAsia" w:hAnsiTheme="minorEastAsia" w:eastAsiaTheme="minorEastAsia"/>
        </w:rPr>
        <w:t>第四部分评标程序、办法及标准</w:t>
      </w:r>
    </w:p>
    <w:p>
      <w:pPr>
        <w:pStyle w:val="5"/>
        <w:numPr>
          <w:ilvl w:val="0"/>
          <w:numId w:val="2"/>
        </w:numPr>
        <w:rPr>
          <w:rFonts w:asciiTheme="minorEastAsia" w:hAnsiTheme="minorEastAsia" w:eastAsiaTheme="minorEastAsia"/>
        </w:rPr>
      </w:pPr>
      <w:r>
        <w:rPr>
          <w:rFonts w:hint="eastAsia" w:asciiTheme="minorEastAsia" w:hAnsiTheme="minorEastAsia" w:eastAsiaTheme="minorEastAsia"/>
        </w:rPr>
        <w:t>评标原则</w:t>
      </w:r>
    </w:p>
    <w:p>
      <w:pPr>
        <w:spacing w:line="360" w:lineRule="auto"/>
        <w:ind w:firstLine="512" w:firstLineChars="200"/>
        <w:rPr>
          <w:rFonts w:asciiTheme="minorEastAsia" w:hAnsiTheme="minorEastAsia" w:eastAsiaTheme="minorEastAsia"/>
          <w:spacing w:val="8"/>
          <w:szCs w:val="24"/>
        </w:rPr>
      </w:pPr>
      <w:r>
        <w:rPr>
          <w:rFonts w:hint="eastAsia" w:asciiTheme="minorEastAsia" w:hAnsiTheme="minorEastAsia" w:eastAsiaTheme="minorEastAsia"/>
          <w:spacing w:val="8"/>
          <w:szCs w:val="24"/>
        </w:rPr>
        <w:t>根据《中华人民共和国招标投标法》、《中华人民共和国招标投标法实施条例》等有关规定，在坚持公平、公正、科学、择优的原则基础上，由评标委员会，采取综合评标法，投标人进行评定，推荐符合要求者为中标候选人。</w:t>
      </w:r>
    </w:p>
    <w:p>
      <w:pPr>
        <w:pStyle w:val="5"/>
        <w:numPr>
          <w:ilvl w:val="0"/>
          <w:numId w:val="2"/>
        </w:numPr>
        <w:rPr>
          <w:rFonts w:asciiTheme="minorEastAsia" w:hAnsiTheme="minorEastAsia" w:eastAsiaTheme="minorEastAsia"/>
        </w:rPr>
      </w:pPr>
      <w:r>
        <w:rPr>
          <w:rFonts w:hint="eastAsia" w:asciiTheme="minorEastAsia" w:hAnsiTheme="minorEastAsia" w:eastAsiaTheme="minorEastAsia"/>
        </w:rPr>
        <w:t>评标组织</w:t>
      </w:r>
    </w:p>
    <w:p>
      <w:pPr>
        <w:spacing w:line="360" w:lineRule="auto"/>
        <w:ind w:firstLine="480" w:firstLineChars="200"/>
        <w:rPr>
          <w:rFonts w:asciiTheme="minorEastAsia" w:hAnsiTheme="minorEastAsia" w:eastAsiaTheme="minorEastAsia"/>
          <w:spacing w:val="8"/>
          <w:szCs w:val="24"/>
        </w:rPr>
      </w:pPr>
      <w:r>
        <w:rPr>
          <w:rFonts w:hint="eastAsia" w:cs="宋体" w:asciiTheme="minorEastAsia" w:hAnsiTheme="minorEastAsia" w:eastAsiaTheme="minorEastAsia"/>
          <w:szCs w:val="24"/>
          <w:lang w:val="zh-CN"/>
        </w:rPr>
        <w:t>招标人将根据本次招标的特点组建评标委员会，其成员由招标人代表1人、评标</w:t>
      </w:r>
      <w:r>
        <w:rPr>
          <w:rFonts w:hint="eastAsia" w:cs="宋体" w:asciiTheme="minorEastAsia" w:hAnsiTheme="minorEastAsia" w:eastAsiaTheme="minorEastAsia"/>
          <w:szCs w:val="24"/>
        </w:rPr>
        <w:t>专家</w:t>
      </w:r>
      <w:r>
        <w:rPr>
          <w:rFonts w:hint="eastAsia" w:cs="宋体" w:asciiTheme="minorEastAsia" w:hAnsiTheme="minorEastAsia" w:eastAsiaTheme="minorEastAsia"/>
          <w:szCs w:val="24"/>
          <w:lang w:val="zh-CN"/>
        </w:rPr>
        <w:t>4人</w:t>
      </w:r>
      <w:r>
        <w:rPr>
          <w:rFonts w:hint="eastAsia" w:cs="宋体" w:asciiTheme="minorEastAsia" w:hAnsiTheme="minorEastAsia" w:eastAsiaTheme="minorEastAsia"/>
          <w:szCs w:val="24"/>
        </w:rPr>
        <w:t>及以上</w:t>
      </w:r>
      <w:r>
        <w:rPr>
          <w:rFonts w:hint="eastAsia" w:cs="宋体" w:asciiTheme="minorEastAsia" w:hAnsiTheme="minorEastAsia" w:eastAsiaTheme="minorEastAsia"/>
          <w:szCs w:val="24"/>
          <w:lang w:val="zh-CN"/>
        </w:rPr>
        <w:t>组成。评标委员会有对投标文件进行审查、质疑、评估、比较和打分的权利。</w:t>
      </w:r>
    </w:p>
    <w:p>
      <w:pPr>
        <w:pStyle w:val="5"/>
        <w:numPr>
          <w:ilvl w:val="0"/>
          <w:numId w:val="2"/>
        </w:numPr>
        <w:rPr>
          <w:rFonts w:asciiTheme="minorEastAsia" w:hAnsiTheme="minorEastAsia" w:eastAsiaTheme="minorEastAsia"/>
        </w:rPr>
      </w:pPr>
      <w:r>
        <w:rPr>
          <w:rFonts w:hint="eastAsia" w:asciiTheme="minorEastAsia" w:hAnsiTheme="minorEastAsia" w:eastAsiaTheme="minorEastAsia"/>
        </w:rPr>
        <w:t>评标内容</w:t>
      </w:r>
    </w:p>
    <w:p>
      <w:pPr>
        <w:spacing w:line="360" w:lineRule="auto"/>
        <w:ind w:firstLine="512" w:firstLineChars="200"/>
        <w:rPr>
          <w:rFonts w:asciiTheme="minorEastAsia" w:hAnsiTheme="minorEastAsia" w:eastAsiaTheme="minorEastAsia"/>
          <w:spacing w:val="8"/>
          <w:szCs w:val="24"/>
        </w:rPr>
      </w:pPr>
      <w:r>
        <w:rPr>
          <w:rFonts w:hint="eastAsia" w:asciiTheme="minorEastAsia" w:hAnsiTheme="minorEastAsia" w:eastAsiaTheme="minorEastAsia"/>
          <w:spacing w:val="8"/>
          <w:szCs w:val="24"/>
        </w:rPr>
        <w:t>评标委员会对所有投标人的投标文件综合评审。</w:t>
      </w:r>
    </w:p>
    <w:p>
      <w:pPr>
        <w:pStyle w:val="5"/>
        <w:numPr>
          <w:ilvl w:val="0"/>
          <w:numId w:val="2"/>
        </w:numPr>
        <w:rPr>
          <w:rFonts w:asciiTheme="minorEastAsia" w:hAnsiTheme="minorEastAsia" w:eastAsiaTheme="minorEastAsia"/>
        </w:rPr>
      </w:pPr>
      <w:r>
        <w:rPr>
          <w:rFonts w:hint="eastAsia" w:asciiTheme="minorEastAsia" w:hAnsiTheme="minorEastAsia" w:eastAsiaTheme="minorEastAsia"/>
        </w:rPr>
        <w:t>评标程序</w:t>
      </w:r>
    </w:p>
    <w:p>
      <w:pPr>
        <w:spacing w:line="360" w:lineRule="auto"/>
        <w:ind w:firstLine="512" w:firstLineChars="200"/>
        <w:rPr>
          <w:rFonts w:asciiTheme="minorEastAsia" w:hAnsiTheme="minorEastAsia" w:eastAsiaTheme="minorEastAsia"/>
          <w:spacing w:val="8"/>
          <w:szCs w:val="24"/>
        </w:rPr>
      </w:pPr>
      <w:r>
        <w:rPr>
          <w:rFonts w:hint="eastAsia" w:asciiTheme="minorEastAsia" w:hAnsiTheme="minorEastAsia" w:eastAsiaTheme="minorEastAsia"/>
          <w:spacing w:val="8"/>
          <w:szCs w:val="24"/>
        </w:rPr>
        <w:t>1、评标委员会首先按照本招标文件中要求剔除无效投标文件。</w:t>
      </w:r>
    </w:p>
    <w:p>
      <w:pPr>
        <w:spacing w:line="360" w:lineRule="auto"/>
        <w:ind w:firstLine="512" w:firstLineChars="200"/>
        <w:rPr>
          <w:rFonts w:asciiTheme="minorEastAsia" w:hAnsiTheme="minorEastAsia" w:eastAsiaTheme="minorEastAsia"/>
          <w:spacing w:val="8"/>
          <w:szCs w:val="24"/>
        </w:rPr>
      </w:pPr>
      <w:r>
        <w:rPr>
          <w:rFonts w:hint="eastAsia" w:asciiTheme="minorEastAsia" w:hAnsiTheme="minorEastAsia" w:eastAsiaTheme="minorEastAsia"/>
          <w:spacing w:val="8"/>
          <w:szCs w:val="24"/>
        </w:rPr>
        <w:t>2、评标委员会根据招标文件确定的评分标准进行打分，所有评委打分的平均分为投标人得分，评分标准附后。</w:t>
      </w:r>
    </w:p>
    <w:p>
      <w:pPr>
        <w:spacing w:line="480" w:lineRule="exact"/>
        <w:ind w:firstLine="512" w:firstLineChars="200"/>
        <w:rPr>
          <w:rFonts w:asciiTheme="minorEastAsia" w:hAnsiTheme="minorEastAsia" w:eastAsiaTheme="minorEastAsia"/>
          <w:spacing w:val="8"/>
          <w:szCs w:val="24"/>
        </w:rPr>
      </w:pPr>
      <w:r>
        <w:rPr>
          <w:rFonts w:hint="eastAsia" w:asciiTheme="minorEastAsia" w:hAnsiTheme="minorEastAsia" w:eastAsiaTheme="minorEastAsia"/>
          <w:spacing w:val="8"/>
          <w:szCs w:val="24"/>
        </w:rPr>
        <w:t>3、将按照得分高低进行排名，</w:t>
      </w:r>
      <w:r>
        <w:rPr>
          <w:rFonts w:asciiTheme="minorEastAsia" w:hAnsiTheme="minorEastAsia" w:eastAsiaTheme="minorEastAsia"/>
          <w:spacing w:val="8"/>
          <w:szCs w:val="24"/>
        </w:rPr>
        <w:t>如果得分高者因故放弃，</w:t>
      </w:r>
      <w:r>
        <w:rPr>
          <w:rFonts w:hint="eastAsia" w:asciiTheme="minorEastAsia" w:hAnsiTheme="minorEastAsia" w:eastAsiaTheme="minorEastAsia"/>
          <w:spacing w:val="8"/>
          <w:szCs w:val="24"/>
        </w:rPr>
        <w:t>则增补未中标综合得分较高者</w:t>
      </w:r>
      <w:r>
        <w:rPr>
          <w:rFonts w:asciiTheme="minorEastAsia" w:hAnsiTheme="minorEastAsia" w:eastAsiaTheme="minorEastAsia"/>
          <w:spacing w:val="8"/>
          <w:szCs w:val="24"/>
        </w:rPr>
        <w:t>，依次类推。</w:t>
      </w:r>
      <w:r>
        <w:rPr>
          <w:rFonts w:hint="eastAsia" w:asciiTheme="minorEastAsia" w:hAnsiTheme="minorEastAsia" w:eastAsiaTheme="minorEastAsia"/>
          <w:spacing w:val="8"/>
          <w:szCs w:val="24"/>
        </w:rPr>
        <w:t>如果投标人总得分相同时，按投标报价由低到高依次排序，如果投标人总得分相同，投标报价也相同时，以投标人业绩数量由高到低进行排序，推荐前3名为中标候选人。</w:t>
      </w:r>
    </w:p>
    <w:p>
      <w:pPr>
        <w:jc w:val="left"/>
        <w:rPr>
          <w:rFonts w:cs="仿宋" w:asciiTheme="minorEastAsia" w:hAnsiTheme="minorEastAsia" w:eastAsiaTheme="minorEastAsia"/>
          <w:b/>
          <w:sz w:val="28"/>
          <w:szCs w:val="28"/>
        </w:rPr>
      </w:pPr>
    </w:p>
    <w:tbl>
      <w:tblPr>
        <w:tblStyle w:val="24"/>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843"/>
        <w:gridCol w:w="850"/>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29" w:type="dxa"/>
            <w:shd w:val="clear" w:color="auto" w:fill="auto"/>
            <w:vAlign w:val="center"/>
          </w:tcPr>
          <w:p>
            <w:pPr>
              <w:pStyle w:val="15"/>
              <w:tabs>
                <w:tab w:val="left" w:pos="600"/>
              </w:tabs>
              <w:adjustRightInd w:val="0"/>
              <w:snapToGrid w:val="0"/>
              <w:spacing w:line="240" w:lineRule="auto"/>
              <w:ind w:firstLine="0"/>
              <w:rPr>
                <w:rFonts w:asciiTheme="minorEastAsia" w:hAnsiTheme="minorEastAsia" w:eastAsiaTheme="minorEastAsia"/>
                <w:b/>
              </w:rPr>
            </w:pPr>
            <w:r>
              <w:rPr>
                <w:rFonts w:hint="eastAsia" w:asciiTheme="minorEastAsia" w:hAnsiTheme="minorEastAsia" w:eastAsiaTheme="minorEastAsia"/>
                <w:b/>
              </w:rPr>
              <w:t>序号</w:t>
            </w:r>
          </w:p>
        </w:tc>
        <w:tc>
          <w:tcPr>
            <w:tcW w:w="1843" w:type="dxa"/>
            <w:shd w:val="clear" w:color="auto" w:fill="auto"/>
            <w:vAlign w:val="center"/>
          </w:tcPr>
          <w:p>
            <w:pPr>
              <w:pStyle w:val="15"/>
              <w:tabs>
                <w:tab w:val="left" w:pos="600"/>
              </w:tabs>
              <w:adjustRightInd w:val="0"/>
              <w:snapToGrid w:val="0"/>
              <w:spacing w:line="240" w:lineRule="auto"/>
              <w:ind w:firstLine="0"/>
              <w:jc w:val="center"/>
              <w:rPr>
                <w:rFonts w:asciiTheme="minorEastAsia" w:hAnsiTheme="minorEastAsia" w:eastAsiaTheme="minorEastAsia"/>
                <w:b/>
              </w:rPr>
            </w:pPr>
            <w:r>
              <w:rPr>
                <w:rFonts w:hint="eastAsia" w:asciiTheme="minorEastAsia" w:hAnsiTheme="minorEastAsia" w:eastAsiaTheme="minorEastAsia"/>
                <w:b/>
              </w:rPr>
              <w:t>评审因素及权重</w:t>
            </w:r>
          </w:p>
        </w:tc>
        <w:tc>
          <w:tcPr>
            <w:tcW w:w="850" w:type="dxa"/>
            <w:shd w:val="clear" w:color="auto" w:fill="auto"/>
            <w:vAlign w:val="center"/>
          </w:tcPr>
          <w:p>
            <w:pPr>
              <w:pStyle w:val="15"/>
              <w:tabs>
                <w:tab w:val="left" w:pos="600"/>
              </w:tabs>
              <w:adjustRightInd w:val="0"/>
              <w:snapToGrid w:val="0"/>
              <w:spacing w:line="240" w:lineRule="auto"/>
              <w:ind w:firstLine="0"/>
              <w:jc w:val="center"/>
              <w:rPr>
                <w:rFonts w:asciiTheme="minorEastAsia" w:hAnsiTheme="minorEastAsia" w:eastAsiaTheme="minorEastAsia"/>
                <w:b/>
              </w:rPr>
            </w:pPr>
            <w:r>
              <w:rPr>
                <w:rFonts w:hint="eastAsia" w:asciiTheme="minorEastAsia" w:hAnsiTheme="minorEastAsia" w:eastAsiaTheme="minorEastAsia"/>
                <w:b/>
              </w:rPr>
              <w:t>分值</w:t>
            </w:r>
          </w:p>
        </w:tc>
        <w:tc>
          <w:tcPr>
            <w:tcW w:w="6052" w:type="dxa"/>
            <w:shd w:val="clear" w:color="auto" w:fill="auto"/>
            <w:vAlign w:val="center"/>
          </w:tcPr>
          <w:p>
            <w:pPr>
              <w:pStyle w:val="15"/>
              <w:tabs>
                <w:tab w:val="left" w:pos="600"/>
              </w:tabs>
              <w:adjustRightInd w:val="0"/>
              <w:snapToGrid w:val="0"/>
              <w:spacing w:line="240" w:lineRule="auto"/>
              <w:ind w:firstLine="0"/>
              <w:jc w:val="center"/>
              <w:rPr>
                <w:rFonts w:asciiTheme="minorEastAsia" w:hAnsiTheme="minorEastAsia" w:eastAsiaTheme="minorEastAsia"/>
                <w:b/>
              </w:rPr>
            </w:pPr>
            <w:r>
              <w:rPr>
                <w:rFonts w:hint="eastAsia" w:asciiTheme="minorEastAsia" w:hAnsiTheme="minorEastAsia" w:eastAsiaTheme="minorEastAsia"/>
                <w:b/>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729" w:type="dxa"/>
            <w:vMerge w:val="restart"/>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843" w:type="dxa"/>
            <w:vMerge w:val="restart"/>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报价部分</w:t>
            </w:r>
          </w:p>
          <w:p>
            <w:pPr>
              <w:jc w:val="center"/>
              <w:rPr>
                <w:rFonts w:asciiTheme="minorEastAsia" w:hAnsiTheme="minorEastAsia" w:eastAsiaTheme="minorEastAsia"/>
                <w:szCs w:val="24"/>
              </w:rPr>
            </w:pPr>
            <w:r>
              <w:rPr>
                <w:rFonts w:hint="eastAsia" w:asciiTheme="minorEastAsia" w:hAnsiTheme="minorEastAsia" w:eastAsiaTheme="minorEastAsia"/>
                <w:szCs w:val="24"/>
              </w:rPr>
              <w:t>40%</w:t>
            </w:r>
          </w:p>
        </w:tc>
        <w:tc>
          <w:tcPr>
            <w:tcW w:w="850" w:type="dxa"/>
            <w:shd w:val="clear" w:color="auto" w:fill="auto"/>
            <w:vAlign w:val="center"/>
          </w:tcPr>
          <w:p>
            <w:pPr>
              <w:pStyle w:val="13"/>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28</w:t>
            </w:r>
          </w:p>
        </w:tc>
        <w:tc>
          <w:tcPr>
            <w:tcW w:w="6052" w:type="dxa"/>
            <w:shd w:val="clear" w:color="auto" w:fill="auto"/>
            <w:vAlign w:val="center"/>
          </w:tcPr>
          <w:p>
            <w:pPr>
              <w:jc w:val="left"/>
              <w:rPr>
                <w:rFonts w:asciiTheme="minorEastAsia" w:hAnsiTheme="minorEastAsia" w:eastAsiaTheme="minorEastAsia"/>
                <w:szCs w:val="24"/>
              </w:rPr>
            </w:pPr>
            <w:r>
              <w:rPr>
                <w:rFonts w:hint="eastAsia" w:asciiTheme="minorEastAsia" w:hAnsiTheme="minorEastAsia" w:eastAsiaTheme="minorEastAsia"/>
                <w:szCs w:val="24"/>
              </w:rPr>
              <w:t>基础咨询服务报价权重70%。投标报价得分=（评标基准价/投标报价）×20×70%×100%。</w:t>
            </w:r>
          </w:p>
          <w:p>
            <w:pPr>
              <w:rPr>
                <w:rFonts w:asciiTheme="minorEastAsia" w:hAnsiTheme="minorEastAsia" w:eastAsiaTheme="minorEastAsia"/>
                <w:szCs w:val="24"/>
              </w:rPr>
            </w:pPr>
            <w:r>
              <w:rPr>
                <w:rFonts w:hint="eastAsia" w:asciiTheme="minorEastAsia" w:hAnsiTheme="minorEastAsia" w:eastAsiaTheme="minorEastAsia"/>
                <w:szCs w:val="24"/>
              </w:rPr>
              <w:t>（评标基准价：最低价）。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729" w:type="dxa"/>
            <w:vMerge w:val="continue"/>
            <w:shd w:val="clear" w:color="auto" w:fill="auto"/>
            <w:vAlign w:val="center"/>
          </w:tcPr>
          <w:p>
            <w:pPr>
              <w:jc w:val="center"/>
              <w:rPr>
                <w:rFonts w:asciiTheme="minorEastAsia" w:hAnsiTheme="minorEastAsia" w:eastAsiaTheme="minorEastAsia"/>
                <w:szCs w:val="24"/>
              </w:rPr>
            </w:pPr>
          </w:p>
        </w:tc>
        <w:tc>
          <w:tcPr>
            <w:tcW w:w="1843" w:type="dxa"/>
            <w:vMerge w:val="continue"/>
            <w:shd w:val="clear" w:color="auto" w:fill="auto"/>
            <w:vAlign w:val="center"/>
          </w:tcPr>
          <w:p>
            <w:pPr>
              <w:jc w:val="center"/>
              <w:rPr>
                <w:rFonts w:asciiTheme="minorEastAsia" w:hAnsiTheme="minorEastAsia" w:eastAsiaTheme="minorEastAsia"/>
                <w:szCs w:val="24"/>
              </w:rPr>
            </w:pPr>
          </w:p>
        </w:tc>
        <w:tc>
          <w:tcPr>
            <w:tcW w:w="850" w:type="dxa"/>
            <w:shd w:val="clear" w:color="auto" w:fill="auto"/>
            <w:vAlign w:val="center"/>
          </w:tcPr>
          <w:p>
            <w:pPr>
              <w:pStyle w:val="13"/>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w:t>
            </w:r>
          </w:p>
        </w:tc>
        <w:tc>
          <w:tcPr>
            <w:tcW w:w="6052" w:type="dxa"/>
            <w:shd w:val="clear" w:color="auto" w:fill="auto"/>
            <w:vAlign w:val="center"/>
          </w:tcPr>
          <w:p>
            <w:pPr>
              <w:pStyle w:val="55"/>
              <w:spacing w:line="240" w:lineRule="auto"/>
              <w:ind w:firstLine="0" w:firstLineChars="0"/>
              <w:rPr>
                <w:rFonts w:asciiTheme="minorEastAsia" w:hAnsiTheme="minorEastAsia" w:eastAsiaTheme="minorEastAsia"/>
                <w:sz w:val="24"/>
              </w:rPr>
            </w:pPr>
            <w:r>
              <w:rPr>
                <w:rFonts w:hint="eastAsia" w:asciiTheme="minorEastAsia" w:hAnsiTheme="minorEastAsia" w:eastAsiaTheme="minorEastAsia"/>
                <w:sz w:val="24"/>
              </w:rPr>
              <w:t>投顾服务报价权重30%，包括投顾服务费率报价（权重10%），服务费上限（权重10%），服务费下限（权重10%）。投顾服务报价得分=（评标基准率/投标费率+上限基准/投标上限</w:t>
            </w:r>
            <w:r>
              <w:rPr>
                <w:rFonts w:asciiTheme="minorEastAsia" w:hAnsiTheme="minorEastAsia" w:eastAsiaTheme="minorEastAsia"/>
                <w:sz w:val="24"/>
              </w:rPr>
              <w:t>+</w:t>
            </w:r>
            <w:r>
              <w:rPr>
                <w:rFonts w:hint="eastAsia" w:asciiTheme="minorEastAsia" w:hAnsiTheme="minorEastAsia" w:eastAsiaTheme="minorEastAsia"/>
                <w:sz w:val="24"/>
              </w:rPr>
              <w:t>下限基准/投标下限）×20×30%×100%。（评标基准率：最低率、</w:t>
            </w:r>
            <w:r>
              <w:rPr>
                <w:rFonts w:asciiTheme="minorEastAsia" w:hAnsiTheme="minorEastAsia" w:eastAsiaTheme="minorEastAsia"/>
                <w:sz w:val="24"/>
              </w:rPr>
              <w:t>最低上限、最</w:t>
            </w:r>
            <w:r>
              <w:rPr>
                <w:rFonts w:hint="eastAsia" w:asciiTheme="minorEastAsia" w:hAnsiTheme="minorEastAsia" w:eastAsiaTheme="minorEastAsia"/>
                <w:sz w:val="24"/>
              </w:rPr>
              <w:t>低</w:t>
            </w:r>
            <w:r>
              <w:rPr>
                <w:rFonts w:asciiTheme="minorEastAsia" w:hAnsiTheme="minorEastAsia" w:eastAsiaTheme="minorEastAsia"/>
                <w:sz w:val="24"/>
              </w:rPr>
              <w:t>下限</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729" w:type="dxa"/>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1843" w:type="dxa"/>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技术部分</w:t>
            </w:r>
          </w:p>
          <w:p>
            <w:pPr>
              <w:jc w:val="center"/>
              <w:rPr>
                <w:rFonts w:asciiTheme="minorEastAsia" w:hAnsiTheme="minorEastAsia" w:eastAsiaTheme="minorEastAsia"/>
                <w:szCs w:val="24"/>
              </w:rPr>
            </w:pPr>
            <w:r>
              <w:rPr>
                <w:rFonts w:hint="eastAsia" w:asciiTheme="minorEastAsia" w:hAnsiTheme="minorEastAsia" w:eastAsiaTheme="minorEastAsia"/>
                <w:szCs w:val="24"/>
              </w:rPr>
              <w:t>20%</w:t>
            </w:r>
          </w:p>
        </w:tc>
        <w:tc>
          <w:tcPr>
            <w:tcW w:w="850" w:type="dxa"/>
            <w:shd w:val="clear" w:color="auto" w:fill="auto"/>
            <w:vAlign w:val="center"/>
          </w:tcPr>
          <w:p>
            <w:pPr>
              <w:pStyle w:val="13"/>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20</w:t>
            </w:r>
          </w:p>
        </w:tc>
        <w:tc>
          <w:tcPr>
            <w:tcW w:w="6052" w:type="dxa"/>
            <w:shd w:val="clear" w:color="auto" w:fill="auto"/>
            <w:vAlign w:val="center"/>
          </w:tcPr>
          <w:p>
            <w:pPr>
              <w:pStyle w:val="55"/>
              <w:spacing w:line="240" w:lineRule="auto"/>
              <w:ind w:firstLine="0" w:firstLineChars="0"/>
              <w:rPr>
                <w:rFonts w:asciiTheme="minorEastAsia" w:hAnsiTheme="minorEastAsia" w:eastAsiaTheme="minorEastAsia"/>
                <w:b/>
                <w:bCs/>
                <w:kern w:val="0"/>
                <w:sz w:val="24"/>
              </w:rPr>
            </w:pPr>
            <w:r>
              <w:rPr>
                <w:rFonts w:asciiTheme="minorEastAsia" w:hAnsiTheme="minorEastAsia" w:eastAsiaTheme="minorEastAsia"/>
                <w:sz w:val="24"/>
              </w:rPr>
              <w:t>1.有针对本项目特点</w:t>
            </w:r>
            <w:r>
              <w:rPr>
                <w:rFonts w:hint="eastAsia" w:asciiTheme="minorEastAsia" w:hAnsiTheme="minorEastAsia" w:eastAsiaTheme="minorEastAsia"/>
                <w:sz w:val="24"/>
              </w:rPr>
              <w:t>的</w:t>
            </w:r>
            <w:r>
              <w:rPr>
                <w:rFonts w:asciiTheme="minorEastAsia" w:hAnsiTheme="minorEastAsia" w:eastAsiaTheme="minorEastAsia"/>
                <w:sz w:val="24"/>
              </w:rPr>
              <w:t>科学的咨询方案、咨询流程，合理</w:t>
            </w:r>
            <w:r>
              <w:rPr>
                <w:rFonts w:hint="eastAsia" w:asciiTheme="minorEastAsia" w:hAnsiTheme="minorEastAsia" w:eastAsiaTheme="minorEastAsia"/>
                <w:sz w:val="24"/>
              </w:rPr>
              <w:t>且</w:t>
            </w:r>
            <w:r>
              <w:rPr>
                <w:rFonts w:asciiTheme="minorEastAsia" w:hAnsiTheme="minorEastAsia" w:eastAsiaTheme="minorEastAsia"/>
                <w:sz w:val="24"/>
              </w:rPr>
              <w:t>切实可行，</w:t>
            </w:r>
            <w:r>
              <w:rPr>
                <w:rFonts w:hint="eastAsia" w:asciiTheme="minorEastAsia" w:hAnsiTheme="minorEastAsia" w:eastAsiaTheme="minorEastAsia"/>
                <w:sz w:val="24"/>
              </w:rPr>
              <w:t>评委根据情况酌情得0-4分。</w:t>
            </w:r>
          </w:p>
          <w:p>
            <w:pPr>
              <w:pStyle w:val="55"/>
              <w:spacing w:line="240" w:lineRule="auto"/>
              <w:ind w:firstLine="0" w:firstLineChars="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有针对本项目特点</w:t>
            </w:r>
            <w:r>
              <w:rPr>
                <w:rFonts w:hint="eastAsia" w:asciiTheme="minorEastAsia" w:hAnsiTheme="minorEastAsia" w:eastAsiaTheme="minorEastAsia"/>
                <w:sz w:val="24"/>
              </w:rPr>
              <w:t>的</w:t>
            </w:r>
            <w:r>
              <w:rPr>
                <w:rFonts w:asciiTheme="minorEastAsia" w:hAnsiTheme="minorEastAsia" w:eastAsiaTheme="minorEastAsia"/>
                <w:sz w:val="24"/>
              </w:rPr>
              <w:t>详细的项目重点、难点分析论述及对策，合理</w:t>
            </w:r>
            <w:r>
              <w:rPr>
                <w:rFonts w:hint="eastAsia" w:asciiTheme="minorEastAsia" w:hAnsiTheme="minorEastAsia" w:eastAsiaTheme="minorEastAsia"/>
                <w:sz w:val="24"/>
              </w:rPr>
              <w:t>且</w:t>
            </w:r>
            <w:r>
              <w:rPr>
                <w:rFonts w:asciiTheme="minorEastAsia" w:hAnsiTheme="minorEastAsia" w:eastAsiaTheme="minorEastAsia"/>
                <w:sz w:val="24"/>
              </w:rPr>
              <w:t>切实可行，</w:t>
            </w:r>
            <w:r>
              <w:rPr>
                <w:rFonts w:hint="eastAsia" w:asciiTheme="minorEastAsia" w:hAnsiTheme="minorEastAsia" w:eastAsiaTheme="minorEastAsia"/>
                <w:sz w:val="24"/>
              </w:rPr>
              <w:t>评委根据情况酌情得0-4分。</w:t>
            </w:r>
          </w:p>
          <w:p>
            <w:pPr>
              <w:pStyle w:val="55"/>
              <w:spacing w:line="240" w:lineRule="auto"/>
              <w:ind w:firstLine="0" w:firstLineChars="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综合考虑项目的要求，对项目优化建议准确丰富，</w:t>
            </w:r>
            <w:r>
              <w:rPr>
                <w:rFonts w:hint="eastAsia" w:asciiTheme="minorEastAsia" w:hAnsiTheme="minorEastAsia" w:eastAsiaTheme="minorEastAsia"/>
                <w:sz w:val="24"/>
              </w:rPr>
              <w:t>评委根据情况酌情得0-4分。</w:t>
            </w:r>
          </w:p>
          <w:p>
            <w:pPr>
              <w:pStyle w:val="55"/>
              <w:spacing w:line="240" w:lineRule="auto"/>
              <w:ind w:firstLine="0" w:firstLineChars="0"/>
              <w:rPr>
                <w:rFonts w:asciiTheme="minorEastAsia" w:hAnsiTheme="minorEastAsia" w:eastAsiaTheme="minorEastAsia"/>
                <w:b/>
                <w:bCs/>
                <w:kern w:val="0"/>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有完整、合理的</w:t>
            </w:r>
            <w:r>
              <w:rPr>
                <w:rFonts w:asciiTheme="minorEastAsia" w:hAnsiTheme="minorEastAsia" w:eastAsiaTheme="minorEastAsia"/>
                <w:bCs/>
                <w:sz w:val="24"/>
              </w:rPr>
              <w:t>质量控制措施、保障方法、有针对性和操作可行</w:t>
            </w:r>
            <w:r>
              <w:rPr>
                <w:rFonts w:asciiTheme="minorEastAsia" w:hAnsiTheme="minorEastAsia" w:eastAsiaTheme="minorEastAsia"/>
                <w:sz w:val="24"/>
              </w:rPr>
              <w:t>，</w:t>
            </w:r>
            <w:r>
              <w:rPr>
                <w:rFonts w:hint="eastAsia" w:asciiTheme="minorEastAsia" w:hAnsiTheme="minorEastAsia" w:eastAsiaTheme="minorEastAsia"/>
                <w:sz w:val="24"/>
              </w:rPr>
              <w:t>评委根据情况酌情得0-4分。</w:t>
            </w:r>
          </w:p>
          <w:p>
            <w:pPr>
              <w:rPr>
                <w:rFonts w:asciiTheme="minorEastAsia" w:hAnsiTheme="minorEastAsia" w:eastAsiaTheme="minorEastAsia"/>
                <w:szCs w:val="24"/>
              </w:rPr>
            </w:pPr>
            <w:r>
              <w:rPr>
                <w:rFonts w:hint="eastAsia" w:asciiTheme="minorEastAsia" w:hAnsiTheme="minorEastAsia" w:eastAsiaTheme="minorEastAsia"/>
                <w:szCs w:val="24"/>
              </w:rPr>
              <w:t>5.</w:t>
            </w:r>
            <w:r>
              <w:rPr>
                <w:rFonts w:asciiTheme="minorEastAsia" w:hAnsiTheme="minorEastAsia" w:eastAsiaTheme="minorEastAsia"/>
                <w:szCs w:val="24"/>
              </w:rPr>
              <w:t>有完整、合理的进度保证措施及有可行性的进度计划表，针对本项目特点，保证措施合理、切实可行，</w:t>
            </w:r>
            <w:r>
              <w:rPr>
                <w:rFonts w:hint="eastAsia" w:asciiTheme="minorEastAsia" w:hAnsiTheme="minorEastAsia" w:eastAsiaTheme="minorEastAsia"/>
                <w:szCs w:val="24"/>
              </w:rPr>
              <w:t>评委根据情况酌情得0-4分。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restart"/>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1843" w:type="dxa"/>
            <w:vMerge w:val="restart"/>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商务</w:t>
            </w:r>
          </w:p>
          <w:p>
            <w:pPr>
              <w:jc w:val="center"/>
              <w:rPr>
                <w:rFonts w:asciiTheme="minorEastAsia" w:hAnsiTheme="minorEastAsia" w:eastAsiaTheme="minorEastAsia"/>
                <w:szCs w:val="24"/>
              </w:rPr>
            </w:pPr>
            <w:r>
              <w:rPr>
                <w:rFonts w:hint="eastAsia" w:asciiTheme="minorEastAsia" w:hAnsiTheme="minorEastAsia" w:eastAsiaTheme="minorEastAsia"/>
                <w:szCs w:val="24"/>
              </w:rPr>
              <w:t>部分</w:t>
            </w:r>
          </w:p>
          <w:p>
            <w:pPr>
              <w:jc w:val="center"/>
              <w:rPr>
                <w:rFonts w:asciiTheme="minorEastAsia" w:hAnsiTheme="minorEastAsia" w:eastAsiaTheme="minorEastAsia"/>
                <w:szCs w:val="24"/>
              </w:rPr>
            </w:pPr>
            <w:r>
              <w:rPr>
                <w:rFonts w:hint="eastAsia" w:asciiTheme="minorEastAsia" w:hAnsiTheme="minorEastAsia" w:eastAsiaTheme="minorEastAsia"/>
                <w:szCs w:val="24"/>
              </w:rPr>
              <w:t>40%</w:t>
            </w:r>
          </w:p>
        </w:tc>
        <w:tc>
          <w:tcPr>
            <w:tcW w:w="850" w:type="dxa"/>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24</w:t>
            </w:r>
          </w:p>
        </w:tc>
        <w:tc>
          <w:tcPr>
            <w:tcW w:w="6052" w:type="dxa"/>
            <w:shd w:val="clear" w:color="auto" w:fill="auto"/>
            <w:vAlign w:val="center"/>
          </w:tcPr>
          <w:p>
            <w:pPr>
              <w:pStyle w:val="53"/>
              <w:rPr>
                <w:rFonts w:asciiTheme="minorEastAsia" w:hAnsiTheme="minorEastAsia" w:eastAsiaTheme="minorEastAsia"/>
                <w:sz w:val="24"/>
                <w:szCs w:val="24"/>
              </w:rPr>
            </w:pPr>
            <w:r>
              <w:rPr>
                <w:rFonts w:hint="eastAsia" w:asciiTheme="minorEastAsia" w:hAnsiTheme="minorEastAsia" w:eastAsiaTheme="minorEastAsia"/>
                <w:sz w:val="24"/>
                <w:szCs w:val="24"/>
              </w:rPr>
              <w:t>投标人近五年（2017年1月1日至今，以合同签订时间为准）具有企业长期咨询服务、PPP项目咨询服务、投融资规划等方面的业绩，每提供1个业绩得2分，最高得24分。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shd w:val="clear" w:color="auto" w:fill="auto"/>
            <w:vAlign w:val="center"/>
          </w:tcPr>
          <w:p>
            <w:pPr>
              <w:jc w:val="center"/>
              <w:rPr>
                <w:rFonts w:asciiTheme="minorEastAsia" w:hAnsiTheme="minorEastAsia" w:eastAsiaTheme="minorEastAsia"/>
                <w:szCs w:val="24"/>
              </w:rPr>
            </w:pPr>
          </w:p>
        </w:tc>
        <w:tc>
          <w:tcPr>
            <w:tcW w:w="1843" w:type="dxa"/>
            <w:vMerge w:val="continue"/>
            <w:shd w:val="clear" w:color="auto" w:fill="auto"/>
            <w:vAlign w:val="center"/>
          </w:tcPr>
          <w:p>
            <w:pPr>
              <w:jc w:val="center"/>
              <w:rPr>
                <w:rFonts w:asciiTheme="minorEastAsia" w:hAnsiTheme="minorEastAsia" w:eastAsiaTheme="minorEastAsia"/>
                <w:szCs w:val="24"/>
              </w:rPr>
            </w:pPr>
          </w:p>
        </w:tc>
        <w:tc>
          <w:tcPr>
            <w:tcW w:w="850" w:type="dxa"/>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6052" w:type="dxa"/>
            <w:shd w:val="clear" w:color="auto" w:fill="auto"/>
            <w:vAlign w:val="center"/>
          </w:tcPr>
          <w:p>
            <w:pPr>
              <w:snapToGrid w:val="0"/>
              <w:rPr>
                <w:rFonts w:asciiTheme="minorEastAsia" w:hAnsiTheme="minorEastAsia" w:eastAsiaTheme="minorEastAsia"/>
                <w:szCs w:val="24"/>
              </w:rPr>
            </w:pPr>
            <w:r>
              <w:rPr>
                <w:rFonts w:hint="eastAsia" w:asciiTheme="minorEastAsia" w:hAnsiTheme="minorEastAsia" w:eastAsiaTheme="minorEastAsia"/>
                <w:szCs w:val="24"/>
              </w:rPr>
              <w:t>根据投标人拟委派的项目组成员配备情况进行评分：拟派项目组人员每配置1个咨询工程师得2分，最高得6分。（提供咨询工程师证书及在投标人单位最近六个月中任意三个月社保证明的复印件加盖公章。）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shd w:val="clear" w:color="auto" w:fill="auto"/>
            <w:vAlign w:val="center"/>
          </w:tcPr>
          <w:p>
            <w:pPr>
              <w:jc w:val="center"/>
              <w:rPr>
                <w:rFonts w:asciiTheme="minorEastAsia" w:hAnsiTheme="minorEastAsia" w:eastAsiaTheme="minorEastAsia"/>
                <w:szCs w:val="24"/>
              </w:rPr>
            </w:pPr>
          </w:p>
        </w:tc>
        <w:tc>
          <w:tcPr>
            <w:tcW w:w="1843" w:type="dxa"/>
            <w:vMerge w:val="continue"/>
            <w:shd w:val="clear" w:color="auto" w:fill="auto"/>
            <w:vAlign w:val="center"/>
          </w:tcPr>
          <w:p>
            <w:pPr>
              <w:jc w:val="center"/>
              <w:rPr>
                <w:rFonts w:asciiTheme="minorEastAsia" w:hAnsiTheme="minorEastAsia" w:eastAsiaTheme="minorEastAsia"/>
                <w:szCs w:val="24"/>
              </w:rPr>
            </w:pPr>
          </w:p>
        </w:tc>
        <w:tc>
          <w:tcPr>
            <w:tcW w:w="850" w:type="dxa"/>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6052" w:type="dxa"/>
            <w:shd w:val="clear" w:color="auto" w:fill="auto"/>
            <w:vAlign w:val="center"/>
          </w:tcPr>
          <w:p>
            <w:pPr>
              <w:adjustRightInd w:val="0"/>
              <w:snapToGrid w:val="0"/>
              <w:rPr>
                <w:rFonts w:asciiTheme="minorEastAsia" w:hAnsiTheme="minorEastAsia" w:eastAsiaTheme="minorEastAsia"/>
                <w:szCs w:val="24"/>
              </w:rPr>
            </w:pPr>
            <w:r>
              <w:rPr>
                <w:rFonts w:hint="eastAsia" w:asciiTheme="minorEastAsia" w:hAnsiTheme="minorEastAsia" w:eastAsiaTheme="minorEastAsia"/>
                <w:szCs w:val="24"/>
              </w:rPr>
              <w:t>投标人拟委派的项目团队具有国家级专家库专家，每提供一个得2分，最高得6分。（提供专家库专家有效证明材料截图及在投标人单位最近六个月中任意三个月社保证明的复印件加盖公章。）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vMerge w:val="continue"/>
            <w:shd w:val="clear" w:color="auto" w:fill="auto"/>
            <w:vAlign w:val="center"/>
          </w:tcPr>
          <w:p>
            <w:pPr>
              <w:jc w:val="center"/>
              <w:rPr>
                <w:rFonts w:asciiTheme="minorEastAsia" w:hAnsiTheme="minorEastAsia" w:eastAsiaTheme="minorEastAsia"/>
                <w:szCs w:val="24"/>
              </w:rPr>
            </w:pPr>
          </w:p>
        </w:tc>
        <w:tc>
          <w:tcPr>
            <w:tcW w:w="1843" w:type="dxa"/>
            <w:vMerge w:val="continue"/>
            <w:shd w:val="clear" w:color="auto" w:fill="auto"/>
            <w:vAlign w:val="center"/>
          </w:tcPr>
          <w:p>
            <w:pPr>
              <w:jc w:val="center"/>
              <w:rPr>
                <w:rFonts w:asciiTheme="minorEastAsia" w:hAnsiTheme="minorEastAsia" w:eastAsiaTheme="minorEastAsia"/>
                <w:szCs w:val="24"/>
              </w:rPr>
            </w:pPr>
          </w:p>
        </w:tc>
        <w:tc>
          <w:tcPr>
            <w:tcW w:w="850" w:type="dxa"/>
            <w:shd w:val="clear" w:color="auto" w:fill="auto"/>
            <w:vAlign w:val="center"/>
          </w:tcPr>
          <w:p>
            <w:pPr>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6052" w:type="dxa"/>
            <w:shd w:val="clear" w:color="auto" w:fill="auto"/>
            <w:vAlign w:val="center"/>
          </w:tcPr>
          <w:p>
            <w:pPr>
              <w:adjustRightInd w:val="0"/>
              <w:snapToGrid w:val="0"/>
              <w:rPr>
                <w:rFonts w:asciiTheme="minorEastAsia" w:hAnsiTheme="minorEastAsia" w:eastAsiaTheme="minorEastAsia"/>
                <w:szCs w:val="24"/>
              </w:rPr>
            </w:pPr>
            <w:r>
              <w:rPr>
                <w:rFonts w:hint="eastAsia" w:asciiTheme="minorEastAsia" w:hAnsiTheme="minorEastAsia" w:eastAsiaTheme="minorEastAsia"/>
                <w:szCs w:val="24"/>
              </w:rPr>
              <w:t>投标人出版或参与过与新型城镇化或城镇综合开发等领域相关的书籍、文献等，每提供一项得1分，最高得4分。（书籍须由正规出版社出版，且具有ISBN书号，提供书籍封面、能够反映书籍内容的重要页面的复印件；书籍须是投标人组织出版或投标人的员工作为编委成员参与，提供相关证明材料的复印件）</w:t>
            </w:r>
          </w:p>
        </w:tc>
      </w:tr>
    </w:tbl>
    <w:p>
      <w:pPr>
        <w:pStyle w:val="5"/>
        <w:numPr>
          <w:ilvl w:val="0"/>
          <w:numId w:val="2"/>
        </w:numPr>
        <w:rPr>
          <w:rFonts w:asciiTheme="minorEastAsia" w:hAnsiTheme="minorEastAsia" w:eastAsiaTheme="minorEastAsia"/>
        </w:rPr>
      </w:pPr>
      <w:r>
        <w:rPr>
          <w:rFonts w:hint="eastAsia" w:asciiTheme="minorEastAsia" w:hAnsiTheme="minorEastAsia" w:eastAsiaTheme="minorEastAsia"/>
        </w:rPr>
        <w:t>定标方式</w:t>
      </w:r>
    </w:p>
    <w:p>
      <w:pPr>
        <w:spacing w:line="480" w:lineRule="exact"/>
        <w:ind w:firstLine="512" w:firstLineChars="200"/>
        <w:rPr>
          <w:rFonts w:asciiTheme="minorEastAsia" w:hAnsiTheme="minorEastAsia" w:eastAsiaTheme="minorEastAsia"/>
          <w:spacing w:val="8"/>
          <w:szCs w:val="24"/>
        </w:rPr>
      </w:pPr>
      <w:r>
        <w:rPr>
          <w:rFonts w:hint="eastAsia" w:asciiTheme="minorEastAsia" w:hAnsiTheme="minorEastAsia" w:eastAsiaTheme="minorEastAsia"/>
          <w:spacing w:val="8"/>
          <w:szCs w:val="24"/>
        </w:rPr>
        <w:t>根据中标候选人推荐情况，经请示集团领导同意后，确定排名第一的中标候选人为中标人。排名领先的中标候选人放弃中标、因不可抗力提出不能履行合同，可以确定排名顺延的中标候选人为中标人。</w:t>
      </w:r>
    </w:p>
    <w:p>
      <w:pPr>
        <w:rPr>
          <w:rFonts w:asciiTheme="minorEastAsia" w:hAnsiTheme="minorEastAsia" w:eastAsiaTheme="minorEastAsia"/>
          <w:b/>
          <w:spacing w:val="12"/>
        </w:rPr>
      </w:pPr>
    </w:p>
    <w:p>
      <w:pPr>
        <w:widowControl/>
        <w:jc w:val="left"/>
        <w:rPr>
          <w:rFonts w:asciiTheme="minorEastAsia" w:hAnsiTheme="minorEastAsia" w:eastAsiaTheme="minorEastAsia"/>
          <w:b/>
          <w:spacing w:val="12"/>
        </w:rPr>
      </w:pPr>
      <w:r>
        <w:rPr>
          <w:rFonts w:asciiTheme="minorEastAsia" w:hAnsiTheme="minorEastAsia" w:eastAsiaTheme="minorEastAsia"/>
          <w:b/>
          <w:spacing w:val="12"/>
        </w:rPr>
        <w:br w:type="page"/>
      </w:r>
    </w:p>
    <w:p>
      <w:pPr>
        <w:pStyle w:val="4"/>
        <w:numPr>
          <w:ilvl w:val="0"/>
          <w:numId w:val="0"/>
        </w:numPr>
        <w:jc w:val="center"/>
        <w:rPr>
          <w:rFonts w:asciiTheme="minorEastAsia" w:hAnsiTheme="minorEastAsia" w:eastAsiaTheme="minorEastAsia"/>
          <w:sz w:val="28"/>
          <w:szCs w:val="28"/>
        </w:rPr>
      </w:pPr>
      <w:r>
        <w:rPr>
          <w:rFonts w:hint="eastAsia" w:asciiTheme="minorEastAsia" w:hAnsiTheme="minorEastAsia" w:eastAsiaTheme="minorEastAsia"/>
          <w:szCs w:val="32"/>
        </w:rPr>
        <w:t>第五部分  投标文件（格式</w:t>
      </w:r>
      <w:r>
        <w:rPr>
          <w:rFonts w:hint="eastAsia" w:asciiTheme="minorEastAsia" w:hAnsiTheme="minorEastAsia" w:eastAsiaTheme="minorEastAsia"/>
          <w:sz w:val="28"/>
          <w:szCs w:val="28"/>
        </w:rPr>
        <w:t>）</w:t>
      </w:r>
    </w:p>
    <w:p>
      <w:pPr>
        <w:ind w:firstLine="1260" w:firstLineChars="450"/>
        <w:rPr>
          <w:rFonts w:asciiTheme="minorEastAsia" w:hAnsiTheme="minorEastAsia" w:eastAsiaTheme="minorEastAsia"/>
          <w:sz w:val="28"/>
          <w:szCs w:val="28"/>
        </w:rPr>
      </w:pPr>
    </w:p>
    <w:p>
      <w:pPr>
        <w:jc w:val="right"/>
        <w:rPr>
          <w:rFonts w:cs="隶书" w:asciiTheme="minorEastAsia" w:hAnsiTheme="minorEastAsia" w:eastAsiaTheme="minorEastAsia"/>
          <w:b/>
          <w:bCs/>
          <w:sz w:val="32"/>
          <w:szCs w:val="32"/>
        </w:rPr>
      </w:pPr>
      <w:r>
        <w:rPr>
          <w:rFonts w:hint="eastAsia" w:cs="隶书" w:asciiTheme="minorEastAsia" w:hAnsiTheme="minorEastAsia" w:eastAsiaTheme="minorEastAsia"/>
          <w:b/>
          <w:bCs/>
          <w:sz w:val="32"/>
          <w:szCs w:val="32"/>
          <w:bdr w:val="single" w:color="auto" w:sz="4" w:space="0"/>
        </w:rPr>
        <w:t>正本或副本</w:t>
      </w:r>
    </w:p>
    <w:p>
      <w:pPr>
        <w:jc w:val="center"/>
        <w:rPr>
          <w:rFonts w:cs="隶书" w:asciiTheme="minorEastAsia" w:hAnsiTheme="minorEastAsia" w:eastAsiaTheme="minorEastAsia"/>
          <w:b/>
          <w:bCs/>
          <w:sz w:val="32"/>
          <w:szCs w:val="32"/>
        </w:rPr>
      </w:pPr>
    </w:p>
    <w:p>
      <w:pPr>
        <w:jc w:val="center"/>
        <w:rPr>
          <w:rFonts w:cs="隶书" w:asciiTheme="minorEastAsia" w:hAnsiTheme="minorEastAsia" w:eastAsiaTheme="minorEastAsia"/>
          <w:b/>
          <w:bCs/>
          <w:sz w:val="32"/>
          <w:szCs w:val="32"/>
        </w:rPr>
      </w:pPr>
    </w:p>
    <w:p>
      <w:pPr>
        <w:tabs>
          <w:tab w:val="center" w:pos="4417"/>
          <w:tab w:val="right" w:pos="8835"/>
        </w:tabs>
        <w:spacing w:beforeLines="50" w:afterLines="100"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新疆交通建设集团股份有限公司</w:t>
      </w:r>
    </w:p>
    <w:p>
      <w:pPr>
        <w:tabs>
          <w:tab w:val="center" w:pos="4417"/>
          <w:tab w:val="right" w:pos="8835"/>
        </w:tabs>
        <w:spacing w:beforeLines="50" w:afterLines="100" w:line="360" w:lineRule="auto"/>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年度投资顾问咨询服务</w:t>
      </w:r>
    </w:p>
    <w:p>
      <w:pPr>
        <w:jc w:val="center"/>
        <w:rPr>
          <w:rFonts w:cs="隶书" w:asciiTheme="minorEastAsia" w:hAnsiTheme="minorEastAsia" w:eastAsiaTheme="minorEastAsia"/>
          <w:b/>
          <w:bCs/>
          <w:sz w:val="32"/>
          <w:szCs w:val="32"/>
        </w:rPr>
      </w:pPr>
    </w:p>
    <w:p>
      <w:pPr>
        <w:jc w:val="center"/>
        <w:rPr>
          <w:rFonts w:asciiTheme="minorEastAsia" w:hAnsiTheme="minorEastAsia" w:eastAsiaTheme="minorEastAsia"/>
          <w:bCs/>
          <w:sz w:val="72"/>
          <w:szCs w:val="72"/>
        </w:rPr>
      </w:pPr>
      <w:r>
        <w:rPr>
          <w:rFonts w:hint="eastAsia" w:cs="隶书" w:asciiTheme="minorEastAsia" w:hAnsiTheme="minorEastAsia" w:eastAsiaTheme="minorEastAsia"/>
          <w:bCs/>
          <w:sz w:val="72"/>
          <w:szCs w:val="72"/>
        </w:rPr>
        <w:t>投 标 文 件</w:t>
      </w:r>
    </w:p>
    <w:p>
      <w:pPr>
        <w:autoSpaceDE w:val="0"/>
        <w:autoSpaceDN w:val="0"/>
        <w:adjustRightInd w:val="0"/>
        <w:jc w:val="center"/>
        <w:rPr>
          <w:rFonts w:cs="隶书" w:asciiTheme="minorEastAsia" w:hAnsiTheme="minorEastAsia" w:eastAsiaTheme="minorEastAsia"/>
          <w:bCs/>
          <w:sz w:val="32"/>
          <w:szCs w:val="32"/>
          <w:lang w:val="zh-CN"/>
        </w:rPr>
      </w:pPr>
    </w:p>
    <w:p>
      <w:pPr>
        <w:autoSpaceDE w:val="0"/>
        <w:autoSpaceDN w:val="0"/>
        <w:adjustRightInd w:val="0"/>
        <w:jc w:val="center"/>
        <w:rPr>
          <w:rFonts w:asciiTheme="minorEastAsia" w:hAnsiTheme="minorEastAsia" w:eastAsiaTheme="minorEastAsia"/>
          <w:bCs/>
          <w:sz w:val="32"/>
          <w:szCs w:val="32"/>
          <w:lang w:val="zh-CN"/>
        </w:rPr>
      </w:pPr>
      <w:r>
        <w:rPr>
          <w:rFonts w:hint="eastAsia" w:cs="隶书" w:asciiTheme="minorEastAsia" w:hAnsiTheme="minorEastAsia" w:eastAsiaTheme="minorEastAsia"/>
          <w:bCs/>
          <w:sz w:val="32"/>
          <w:szCs w:val="32"/>
          <w:lang w:val="zh-CN"/>
        </w:rPr>
        <w:t>招标编号：</w:t>
      </w:r>
    </w:p>
    <w:p>
      <w:pPr>
        <w:rPr>
          <w:rFonts w:cs="宋体" w:asciiTheme="minorEastAsia" w:hAnsiTheme="minorEastAsia" w:eastAsiaTheme="minorEastAsia"/>
          <w:sz w:val="32"/>
          <w:szCs w:val="32"/>
        </w:rPr>
      </w:pPr>
    </w:p>
    <w:p>
      <w:pP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rPr>
          <w:rFonts w:cs="宋体" w:asciiTheme="minorEastAsia" w:hAnsiTheme="minorEastAsia" w:eastAsiaTheme="minorEastAsia"/>
          <w:sz w:val="32"/>
          <w:szCs w:val="32"/>
        </w:rPr>
      </w:pPr>
    </w:p>
    <w:p>
      <w:pPr>
        <w:rPr>
          <w:rFonts w:cs="宋体" w:asciiTheme="minorEastAsia" w:hAnsiTheme="minorEastAsia" w:eastAsiaTheme="minorEastAsia"/>
          <w:sz w:val="32"/>
          <w:szCs w:val="32"/>
        </w:rPr>
      </w:pPr>
    </w:p>
    <w:p>
      <w:pP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jc w:val="center"/>
        <w:rPr>
          <w:rFonts w:cs="宋体" w:asciiTheme="minorEastAsia" w:hAnsiTheme="minorEastAsia" w:eastAsiaTheme="minorEastAsia"/>
          <w:sz w:val="32"/>
          <w:szCs w:val="32"/>
        </w:rPr>
      </w:pPr>
    </w:p>
    <w:p>
      <w:pPr>
        <w:adjustRightInd w:val="0"/>
        <w:snapToGrid w:val="0"/>
        <w:spacing w:line="640" w:lineRule="exact"/>
        <w:ind w:firstLine="1470"/>
        <w:rPr>
          <w:rFonts w:asciiTheme="minorEastAsia" w:hAnsiTheme="minorEastAsia" w:eastAsiaTheme="minorEastAsia"/>
          <w:snapToGrid w:val="0"/>
          <w:spacing w:val="8"/>
          <w:sz w:val="32"/>
          <w:szCs w:val="32"/>
        </w:rPr>
      </w:pPr>
      <w:r>
        <w:rPr>
          <w:rFonts w:hint="eastAsia" w:asciiTheme="minorEastAsia" w:hAnsiTheme="minorEastAsia" w:eastAsiaTheme="minorEastAsia"/>
          <w:bCs/>
          <w:snapToGrid w:val="0"/>
          <w:spacing w:val="8"/>
          <w:sz w:val="32"/>
          <w:szCs w:val="32"/>
        </w:rPr>
        <w:t>招标人：</w:t>
      </w:r>
      <w:r>
        <w:rPr>
          <w:rFonts w:hint="eastAsia" w:asciiTheme="minorEastAsia" w:hAnsiTheme="minorEastAsia" w:eastAsiaTheme="minorEastAsia"/>
          <w:snapToGrid w:val="0"/>
          <w:spacing w:val="8"/>
          <w:sz w:val="32"/>
          <w:szCs w:val="32"/>
        </w:rPr>
        <w:t>新疆交通建设集团股份有限公司</w:t>
      </w:r>
    </w:p>
    <w:p>
      <w:pPr>
        <w:adjustRightInd w:val="0"/>
        <w:snapToGrid w:val="0"/>
        <w:spacing w:line="640" w:lineRule="exact"/>
        <w:ind w:firstLine="1470"/>
        <w:rPr>
          <w:rFonts w:asciiTheme="minorEastAsia" w:hAnsiTheme="minorEastAsia" w:eastAsiaTheme="minorEastAsia"/>
          <w:spacing w:val="8"/>
          <w:sz w:val="32"/>
          <w:szCs w:val="32"/>
          <w:u w:val="single"/>
        </w:rPr>
      </w:pPr>
      <w:r>
        <w:rPr>
          <w:rFonts w:hint="eastAsia" w:asciiTheme="minorEastAsia" w:hAnsiTheme="minorEastAsia" w:eastAsiaTheme="minorEastAsia"/>
          <w:snapToGrid w:val="0"/>
          <w:spacing w:val="8"/>
          <w:sz w:val="32"/>
          <w:szCs w:val="32"/>
        </w:rPr>
        <w:t>投标人：</w:t>
      </w:r>
    </w:p>
    <w:p>
      <w:pPr>
        <w:adjustRightInd w:val="0"/>
        <w:snapToGrid w:val="0"/>
        <w:spacing w:line="480" w:lineRule="exact"/>
        <w:rPr>
          <w:rFonts w:asciiTheme="minorEastAsia" w:hAnsiTheme="minorEastAsia" w:eastAsiaTheme="minorEastAsia"/>
          <w:spacing w:val="8"/>
          <w:sz w:val="32"/>
          <w:szCs w:val="32"/>
        </w:rPr>
      </w:pPr>
    </w:p>
    <w:p>
      <w:pPr>
        <w:adjustRightInd w:val="0"/>
        <w:snapToGrid w:val="0"/>
        <w:spacing w:line="480" w:lineRule="exact"/>
        <w:rPr>
          <w:rFonts w:asciiTheme="minorEastAsia" w:hAnsiTheme="minorEastAsia" w:eastAsiaTheme="minorEastAsia"/>
          <w:spacing w:val="8"/>
          <w:sz w:val="32"/>
          <w:szCs w:val="32"/>
        </w:rPr>
      </w:pPr>
    </w:p>
    <w:p>
      <w:pPr>
        <w:adjustRightInd w:val="0"/>
        <w:snapToGrid w:val="0"/>
        <w:spacing w:line="480" w:lineRule="exact"/>
        <w:jc w:val="center"/>
        <w:rPr>
          <w:rFonts w:asciiTheme="minorEastAsia" w:hAnsiTheme="minorEastAsia" w:eastAsiaTheme="minorEastAsia"/>
          <w:spacing w:val="8"/>
          <w:sz w:val="32"/>
          <w:szCs w:val="32"/>
        </w:rPr>
      </w:pPr>
      <w:r>
        <w:rPr>
          <w:rFonts w:hint="eastAsia" w:asciiTheme="minorEastAsia" w:hAnsiTheme="minorEastAsia" w:eastAsiaTheme="minorEastAsia"/>
          <w:spacing w:val="8"/>
          <w:sz w:val="32"/>
          <w:szCs w:val="32"/>
        </w:rPr>
        <w:t>投标人：（单位公章）         法定代表人：（签字或盖章）</w:t>
      </w:r>
    </w:p>
    <w:p>
      <w:pPr>
        <w:adjustRightInd w:val="0"/>
        <w:snapToGrid w:val="0"/>
        <w:spacing w:line="480" w:lineRule="exact"/>
        <w:rPr>
          <w:rFonts w:asciiTheme="minorEastAsia" w:hAnsiTheme="minorEastAsia" w:eastAsiaTheme="minorEastAsia"/>
          <w:spacing w:val="8"/>
          <w:sz w:val="32"/>
          <w:szCs w:val="32"/>
        </w:rPr>
      </w:pPr>
    </w:p>
    <w:p>
      <w:pPr>
        <w:adjustRightInd w:val="0"/>
        <w:snapToGrid w:val="0"/>
        <w:spacing w:line="520" w:lineRule="exact"/>
        <w:jc w:val="center"/>
        <w:rPr>
          <w:rFonts w:cs="宋体" w:asciiTheme="minorEastAsia" w:hAnsiTheme="minorEastAsia" w:eastAsiaTheme="minorEastAsia"/>
          <w:sz w:val="32"/>
          <w:szCs w:val="32"/>
        </w:rPr>
      </w:pPr>
      <w:r>
        <w:rPr>
          <w:rFonts w:hint="eastAsia" w:asciiTheme="minorEastAsia" w:hAnsiTheme="minorEastAsia" w:eastAsiaTheme="minorEastAsia"/>
          <w:spacing w:val="8"/>
          <w:sz w:val="32"/>
          <w:szCs w:val="32"/>
        </w:rPr>
        <w:t>年   月   日</w:t>
      </w:r>
      <w:r>
        <w:rPr>
          <w:rFonts w:asciiTheme="minorEastAsia" w:hAnsiTheme="minorEastAsia" w:eastAsiaTheme="minorEastAsia"/>
          <w:spacing w:val="8"/>
          <w:sz w:val="28"/>
        </w:rPr>
        <w:br w:type="page"/>
      </w:r>
    </w:p>
    <w:p>
      <w:pPr>
        <w:pStyle w:val="4"/>
        <w:numPr>
          <w:ilvl w:val="0"/>
          <w:numId w:val="0"/>
        </w:numPr>
        <w:ind w:left="720" w:leftChars="300" w:firstLine="3373" w:firstLineChars="1050"/>
        <w:rPr>
          <w:rFonts w:asciiTheme="minorEastAsia" w:hAnsiTheme="minorEastAsia" w:eastAsiaTheme="minorEastAsia"/>
        </w:rPr>
      </w:pPr>
      <w:r>
        <w:rPr>
          <w:rFonts w:hint="eastAsia" w:asciiTheme="minorEastAsia" w:hAnsiTheme="minorEastAsia" w:eastAsiaTheme="minorEastAsia"/>
        </w:rPr>
        <w:t>一、投标函</w:t>
      </w:r>
    </w:p>
    <w:p>
      <w:pPr>
        <w:spacing w:line="460" w:lineRule="exact"/>
        <w:jc w:val="center"/>
        <w:rPr>
          <w:rFonts w:asciiTheme="minorEastAsia" w:hAnsiTheme="minorEastAsia" w:eastAsiaTheme="minorEastAsia"/>
          <w:sz w:val="32"/>
        </w:rPr>
      </w:pPr>
    </w:p>
    <w:p>
      <w:pPr>
        <w:spacing w:line="400" w:lineRule="exact"/>
        <w:rPr>
          <w:rFonts w:asciiTheme="minorEastAsia" w:hAnsiTheme="minorEastAsia" w:eastAsiaTheme="minorEastAsia"/>
          <w:szCs w:val="24"/>
        </w:rPr>
      </w:pPr>
      <w:r>
        <w:rPr>
          <w:rFonts w:hint="eastAsia" w:asciiTheme="minorEastAsia" w:hAnsiTheme="minorEastAsia" w:eastAsiaTheme="minorEastAsia"/>
          <w:szCs w:val="24"/>
        </w:rPr>
        <w:t>致：</w:t>
      </w:r>
      <w:r>
        <w:rPr>
          <w:rFonts w:hint="eastAsia" w:asciiTheme="minorEastAsia" w:hAnsiTheme="minorEastAsia" w:eastAsiaTheme="minorEastAsia"/>
          <w:szCs w:val="24"/>
          <w:u w:val="single"/>
        </w:rPr>
        <w:t>新疆交通建设集团股份有限公司</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经认真分析，领会了贵方提供的</w:t>
      </w:r>
      <w:r>
        <w:rPr>
          <w:rFonts w:hint="eastAsia" w:asciiTheme="minorEastAsia" w:hAnsiTheme="minorEastAsia" w:eastAsiaTheme="minorEastAsia"/>
          <w:bCs/>
          <w:szCs w:val="24"/>
        </w:rPr>
        <w:t>新疆交通建设集团股份有限公司年度顾问咨询服务</w:t>
      </w:r>
      <w:r>
        <w:rPr>
          <w:rFonts w:hint="eastAsia" w:asciiTheme="minorEastAsia" w:hAnsiTheme="minorEastAsia" w:eastAsiaTheme="minorEastAsia"/>
          <w:szCs w:val="24"/>
        </w:rPr>
        <w:t>招标文件。依据贵方招标文件中提出的各项要求，我方在此郑重表示：</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我方愿意承担并完成</w:t>
      </w:r>
      <w:r>
        <w:rPr>
          <w:rFonts w:hint="eastAsia" w:asciiTheme="minorEastAsia" w:hAnsiTheme="minorEastAsia" w:eastAsiaTheme="minorEastAsia"/>
          <w:bCs/>
        </w:rPr>
        <w:t>新疆交通建设集团股份有限公司年度顾问咨询服务</w:t>
      </w:r>
      <w:r>
        <w:rPr>
          <w:rFonts w:hint="eastAsia" w:asciiTheme="minorEastAsia" w:hAnsiTheme="minorEastAsia" w:eastAsiaTheme="minorEastAsia"/>
          <w:szCs w:val="24"/>
        </w:rPr>
        <w:t>任务。</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基础咨询服务总费用（含招标人根据项目实际情况，要求服务内容的调整变动而产生的费用）人民币(大写)_______________元 (￥)；投顾服务费上限元，下限元，费率。</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1、我方同意从递交投标文件之日起90天内保持投标文件有效。</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2、如果我们的投标文件被接受，我们将严格履行招标文件中规定的每一项要求，按期、保质、保量履行义务。</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3、我方愿意提供招标人在招标文件中要求的所有资料。</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4、我方同意贵方的定标方法，同时认为较低的报价是中标的重要选择标准，但不是唯一的选择标准。</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5、我方愿意遵守招标文件中所列的收费标准，同时承担招标文件中对中标人规定的各项责任。</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6、该项目投标在开标后的全过程中保持有效，不作任何更改和变动。</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7、有关招标项目的函电，请按下列方式联系：</w:t>
      </w:r>
    </w:p>
    <w:p>
      <w:pPr>
        <w:spacing w:line="400" w:lineRule="exact"/>
        <w:ind w:firstLine="480" w:firstLineChars="200"/>
        <w:rPr>
          <w:rFonts w:asciiTheme="minorEastAsia" w:hAnsiTheme="minorEastAsia" w:eastAsiaTheme="minorEastAsia"/>
          <w:szCs w:val="24"/>
        </w:rPr>
      </w:pP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投标人：（盖章）</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单位地址：</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法定代表人：（签字或盖章）</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邮政编码：</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电话：                          传真：</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开户银行名称：                  开户行地址：</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银行帐号：</w:t>
      </w:r>
    </w:p>
    <w:p>
      <w:pPr>
        <w:spacing w:line="4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日期：      年     月     日</w:t>
      </w:r>
    </w:p>
    <w:p>
      <w:pPr>
        <w:spacing w:line="400" w:lineRule="exact"/>
        <w:ind w:firstLine="480" w:firstLineChars="200"/>
        <w:rPr>
          <w:rFonts w:asciiTheme="minorEastAsia" w:hAnsiTheme="minorEastAsia" w:eastAsiaTheme="minorEastAsia"/>
          <w:szCs w:val="24"/>
        </w:rPr>
      </w:pPr>
    </w:p>
    <w:p>
      <w:pPr>
        <w:widowControl/>
        <w:jc w:val="left"/>
        <w:rPr>
          <w:rFonts w:asciiTheme="minorEastAsia" w:hAnsiTheme="minorEastAsia" w:eastAsiaTheme="minorEastAsia"/>
          <w:szCs w:val="24"/>
        </w:rPr>
      </w:pPr>
      <w:r>
        <w:rPr>
          <w:rFonts w:asciiTheme="minorEastAsia" w:hAnsiTheme="minorEastAsia" w:eastAsiaTheme="minorEastAsia"/>
          <w:szCs w:val="24"/>
        </w:rPr>
        <w:br w:type="page"/>
      </w:r>
    </w:p>
    <w:p>
      <w:pPr>
        <w:pStyle w:val="4"/>
        <w:numPr>
          <w:ilvl w:val="0"/>
          <w:numId w:val="0"/>
        </w:numPr>
        <w:ind w:left="720" w:leftChars="300" w:firstLine="2731" w:firstLineChars="850"/>
        <w:rPr>
          <w:rStyle w:val="27"/>
          <w:rFonts w:asciiTheme="minorEastAsia" w:hAnsiTheme="minorEastAsia" w:eastAsiaTheme="minorEastAsia"/>
          <w:b/>
        </w:rPr>
      </w:pPr>
      <w:r>
        <w:rPr>
          <w:rStyle w:val="27"/>
          <w:rFonts w:hint="eastAsia" w:asciiTheme="minorEastAsia" w:hAnsiTheme="minorEastAsia" w:eastAsiaTheme="minorEastAsia"/>
          <w:b/>
        </w:rPr>
        <w:t>二、开标一览表</w:t>
      </w:r>
    </w:p>
    <w:p>
      <w:pPr>
        <w:tabs>
          <w:tab w:val="left" w:pos="3150"/>
        </w:tabs>
        <w:spacing w:line="600" w:lineRule="exact"/>
        <w:rPr>
          <w:rFonts w:asciiTheme="minorEastAsia" w:hAnsiTheme="minorEastAsia" w:eastAsiaTheme="minorEastAsia"/>
          <w:szCs w:val="24"/>
        </w:rPr>
      </w:pPr>
      <w:r>
        <w:rPr>
          <w:rFonts w:hint="eastAsia" w:asciiTheme="minorEastAsia" w:hAnsiTheme="minorEastAsia" w:eastAsiaTheme="minorEastAsia"/>
          <w:szCs w:val="24"/>
        </w:rPr>
        <w:t>投标人名称：</w:t>
      </w:r>
    </w:p>
    <w:tbl>
      <w:tblPr>
        <w:tblStyle w:val="24"/>
        <w:tblW w:w="9798" w:type="dxa"/>
        <w:jc w:val="center"/>
        <w:tblLayout w:type="fixed"/>
        <w:tblCellMar>
          <w:top w:w="0" w:type="dxa"/>
          <w:left w:w="108" w:type="dxa"/>
          <w:bottom w:w="0" w:type="dxa"/>
          <w:right w:w="108" w:type="dxa"/>
        </w:tblCellMar>
      </w:tblPr>
      <w:tblGrid>
        <w:gridCol w:w="1383"/>
        <w:gridCol w:w="8415"/>
      </w:tblGrid>
      <w:tr>
        <w:tblPrEx>
          <w:tblCellMar>
            <w:top w:w="0" w:type="dxa"/>
            <w:left w:w="108" w:type="dxa"/>
            <w:bottom w:w="0" w:type="dxa"/>
            <w:right w:w="108" w:type="dxa"/>
          </w:tblCellMar>
        </w:tblPrEx>
        <w:trPr>
          <w:trHeight w:val="911" w:hRule="atLeast"/>
          <w:jc w:val="center"/>
        </w:trPr>
        <w:tc>
          <w:tcPr>
            <w:tcW w:w="138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项目名称</w:t>
            </w:r>
          </w:p>
        </w:tc>
        <w:tc>
          <w:tcPr>
            <w:tcW w:w="841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tabs>
                <w:tab w:val="center" w:pos="4417"/>
                <w:tab w:val="right" w:pos="8835"/>
              </w:tabs>
              <w:spacing w:beforeLines="50" w:afterLines="100" w:line="360" w:lineRule="auto"/>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新疆交通建设集团股份有限公司年度顾问咨询服务</w:t>
            </w:r>
          </w:p>
          <w:p>
            <w:pPr>
              <w:widowControl/>
              <w:jc w:val="left"/>
              <w:rPr>
                <w:rFonts w:cs="宋体" w:asciiTheme="minorEastAsia" w:hAnsiTheme="minorEastAsia" w:eastAsiaTheme="minorEastAsia"/>
                <w:kern w:val="0"/>
                <w:szCs w:val="24"/>
              </w:rPr>
            </w:pPr>
          </w:p>
          <w:p>
            <w:pPr>
              <w:widowControl/>
              <w:jc w:val="left"/>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（招标编号：                  ）</w:t>
            </w:r>
          </w:p>
        </w:tc>
      </w:tr>
      <w:tr>
        <w:tblPrEx>
          <w:tblCellMar>
            <w:top w:w="0" w:type="dxa"/>
            <w:left w:w="108" w:type="dxa"/>
            <w:bottom w:w="0" w:type="dxa"/>
            <w:right w:w="108" w:type="dxa"/>
          </w:tblCellMar>
        </w:tblPrEx>
        <w:trPr>
          <w:trHeight w:val="911" w:hRule="atLeast"/>
          <w:jc w:val="center"/>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4"/>
              </w:rPr>
            </w:pPr>
          </w:p>
        </w:tc>
        <w:tc>
          <w:tcPr>
            <w:tcW w:w="841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Cs w:val="24"/>
              </w:rPr>
            </w:pPr>
          </w:p>
        </w:tc>
      </w:tr>
      <w:tr>
        <w:tblPrEx>
          <w:tblCellMar>
            <w:top w:w="0" w:type="dxa"/>
            <w:left w:w="108" w:type="dxa"/>
            <w:bottom w:w="0" w:type="dxa"/>
            <w:right w:w="108" w:type="dxa"/>
          </w:tblCellMar>
        </w:tblPrEx>
        <w:trPr>
          <w:trHeight w:val="911" w:hRule="atLeast"/>
          <w:jc w:val="center"/>
        </w:trPr>
        <w:tc>
          <w:tcPr>
            <w:tcW w:w="1383"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报价</w:t>
            </w:r>
          </w:p>
        </w:tc>
        <w:tc>
          <w:tcPr>
            <w:tcW w:w="84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kern w:val="0"/>
                <w:szCs w:val="24"/>
              </w:rPr>
            </w:pPr>
            <w:r>
              <w:rPr>
                <w:rFonts w:hint="eastAsia" w:asciiTheme="minorEastAsia" w:hAnsiTheme="minorEastAsia" w:eastAsiaTheme="minorEastAsia"/>
                <w:szCs w:val="24"/>
              </w:rPr>
              <w:t>基础咨询服务费</w:t>
            </w:r>
            <w:r>
              <w:rPr>
                <w:rFonts w:hint="eastAsia" w:cs="宋体" w:asciiTheme="minorEastAsia" w:hAnsiTheme="minorEastAsia" w:eastAsiaTheme="minorEastAsia"/>
                <w:kern w:val="0"/>
                <w:szCs w:val="24"/>
              </w:rPr>
              <w:t>：           （大写）：</w:t>
            </w:r>
          </w:p>
        </w:tc>
      </w:tr>
      <w:tr>
        <w:tblPrEx>
          <w:tblCellMar>
            <w:top w:w="0" w:type="dxa"/>
            <w:left w:w="108" w:type="dxa"/>
            <w:bottom w:w="0" w:type="dxa"/>
            <w:right w:w="108" w:type="dxa"/>
          </w:tblCellMar>
        </w:tblPrEx>
        <w:trPr>
          <w:trHeight w:val="911" w:hRule="atLeast"/>
          <w:jc w:val="center"/>
        </w:trPr>
        <w:tc>
          <w:tcPr>
            <w:tcW w:w="1383" w:type="dxa"/>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kern w:val="0"/>
                <w:szCs w:val="24"/>
              </w:rPr>
            </w:pPr>
          </w:p>
        </w:tc>
        <w:tc>
          <w:tcPr>
            <w:tcW w:w="84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szCs w:val="24"/>
              </w:rPr>
            </w:pPr>
            <w:r>
              <w:rPr>
                <w:rFonts w:hint="eastAsia" w:asciiTheme="minorEastAsia" w:hAnsiTheme="minorEastAsia" w:eastAsiaTheme="minorEastAsia"/>
                <w:szCs w:val="24"/>
              </w:rPr>
              <w:t>投顾服务费</w:t>
            </w:r>
            <w:r>
              <w:rPr>
                <w:rFonts w:hint="eastAsia" w:cs="宋体" w:asciiTheme="minorEastAsia" w:hAnsiTheme="minorEastAsia" w:eastAsiaTheme="minorEastAsia"/>
                <w:kern w:val="0"/>
                <w:szCs w:val="24"/>
              </w:rPr>
              <w:t xml:space="preserve">上限报价：           （大写）：        </w:t>
            </w:r>
          </w:p>
        </w:tc>
      </w:tr>
      <w:tr>
        <w:tblPrEx>
          <w:tblCellMar>
            <w:top w:w="0" w:type="dxa"/>
            <w:left w:w="108" w:type="dxa"/>
            <w:bottom w:w="0" w:type="dxa"/>
            <w:right w:w="108" w:type="dxa"/>
          </w:tblCellMar>
        </w:tblPrEx>
        <w:trPr>
          <w:trHeight w:val="911" w:hRule="atLeast"/>
          <w:jc w:val="center"/>
        </w:trPr>
        <w:tc>
          <w:tcPr>
            <w:tcW w:w="1383"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kern w:val="0"/>
                <w:szCs w:val="24"/>
              </w:rPr>
            </w:pPr>
          </w:p>
        </w:tc>
        <w:tc>
          <w:tcPr>
            <w:tcW w:w="84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kern w:val="0"/>
                <w:szCs w:val="24"/>
              </w:rPr>
            </w:pPr>
            <w:r>
              <w:rPr>
                <w:rFonts w:hint="eastAsia" w:asciiTheme="minorEastAsia" w:hAnsiTheme="minorEastAsia" w:eastAsiaTheme="minorEastAsia"/>
                <w:szCs w:val="24"/>
              </w:rPr>
              <w:t>投顾服务费</w:t>
            </w:r>
            <w:r>
              <w:rPr>
                <w:rFonts w:hint="eastAsia" w:cs="宋体" w:asciiTheme="minorEastAsia" w:hAnsiTheme="minorEastAsia" w:eastAsiaTheme="minorEastAsia"/>
                <w:kern w:val="0"/>
                <w:szCs w:val="24"/>
              </w:rPr>
              <w:t xml:space="preserve">下限报价：           （大写）：        </w:t>
            </w:r>
          </w:p>
        </w:tc>
      </w:tr>
      <w:tr>
        <w:tblPrEx>
          <w:tblCellMar>
            <w:top w:w="0" w:type="dxa"/>
            <w:left w:w="108" w:type="dxa"/>
            <w:bottom w:w="0" w:type="dxa"/>
            <w:right w:w="108" w:type="dxa"/>
          </w:tblCellMar>
        </w:tblPrEx>
        <w:trPr>
          <w:trHeight w:val="911" w:hRule="atLeast"/>
          <w:jc w:val="center"/>
        </w:trPr>
        <w:tc>
          <w:tcPr>
            <w:tcW w:w="1383"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4"/>
              </w:rPr>
            </w:pPr>
          </w:p>
        </w:tc>
        <w:tc>
          <w:tcPr>
            <w:tcW w:w="84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szCs w:val="24"/>
              </w:rPr>
            </w:pPr>
            <w:r>
              <w:rPr>
                <w:rFonts w:hint="eastAsia" w:asciiTheme="minorEastAsia" w:hAnsiTheme="minorEastAsia" w:eastAsiaTheme="minorEastAsia"/>
                <w:szCs w:val="24"/>
              </w:rPr>
              <w:t xml:space="preserve">投顾服务费费率：           </w:t>
            </w:r>
            <w:r>
              <w:rPr>
                <w:rFonts w:hint="eastAsia" w:cs="宋体" w:asciiTheme="minorEastAsia" w:hAnsiTheme="minorEastAsia" w:eastAsiaTheme="minorEastAsia"/>
                <w:kern w:val="0"/>
                <w:szCs w:val="24"/>
              </w:rPr>
              <w:t>（大写）：</w:t>
            </w:r>
          </w:p>
        </w:tc>
      </w:tr>
    </w:tbl>
    <w:p>
      <w:pPr>
        <w:tabs>
          <w:tab w:val="left" w:pos="3150"/>
        </w:tabs>
        <w:spacing w:line="400" w:lineRule="exact"/>
        <w:ind w:firstLine="4800" w:firstLineChars="2000"/>
        <w:rPr>
          <w:rFonts w:asciiTheme="minorEastAsia" w:hAnsiTheme="minorEastAsia" w:eastAsiaTheme="minorEastAsia"/>
          <w:bCs/>
          <w:szCs w:val="24"/>
        </w:rPr>
      </w:pPr>
    </w:p>
    <w:p>
      <w:pPr>
        <w:tabs>
          <w:tab w:val="left" w:pos="3150"/>
        </w:tabs>
        <w:spacing w:line="400" w:lineRule="exact"/>
        <w:ind w:firstLine="4800" w:firstLineChars="2000"/>
        <w:rPr>
          <w:rFonts w:asciiTheme="minorEastAsia" w:hAnsiTheme="minorEastAsia" w:eastAsiaTheme="minorEastAsia"/>
          <w:bCs/>
          <w:szCs w:val="24"/>
        </w:rPr>
      </w:pPr>
    </w:p>
    <w:p>
      <w:pPr>
        <w:tabs>
          <w:tab w:val="left" w:pos="3150"/>
        </w:tabs>
        <w:spacing w:line="400" w:lineRule="exact"/>
        <w:ind w:firstLine="4800" w:firstLineChars="2000"/>
        <w:rPr>
          <w:rFonts w:asciiTheme="minorEastAsia" w:hAnsiTheme="minorEastAsia" w:eastAsiaTheme="minorEastAsia"/>
          <w:bCs/>
          <w:szCs w:val="24"/>
        </w:rPr>
      </w:pPr>
    </w:p>
    <w:p>
      <w:pPr>
        <w:tabs>
          <w:tab w:val="left" w:pos="3150"/>
        </w:tabs>
        <w:spacing w:line="400" w:lineRule="exact"/>
        <w:ind w:firstLine="4800" w:firstLineChars="2000"/>
        <w:rPr>
          <w:rFonts w:asciiTheme="minorEastAsia" w:hAnsiTheme="minorEastAsia" w:eastAsiaTheme="minorEastAsia"/>
          <w:bCs/>
          <w:szCs w:val="24"/>
        </w:rPr>
      </w:pPr>
    </w:p>
    <w:p>
      <w:pPr>
        <w:tabs>
          <w:tab w:val="left" w:pos="3150"/>
        </w:tabs>
        <w:spacing w:line="400" w:lineRule="exact"/>
        <w:ind w:firstLine="4800" w:firstLineChars="2000"/>
        <w:rPr>
          <w:rFonts w:asciiTheme="minorEastAsia" w:hAnsiTheme="minorEastAsia" w:eastAsiaTheme="minorEastAsia"/>
          <w:bCs/>
          <w:szCs w:val="24"/>
        </w:rPr>
      </w:pPr>
    </w:p>
    <w:p>
      <w:pPr>
        <w:tabs>
          <w:tab w:val="left" w:pos="3150"/>
        </w:tabs>
        <w:spacing w:line="400" w:lineRule="exact"/>
        <w:ind w:firstLine="4800" w:firstLineChars="2000"/>
        <w:rPr>
          <w:rFonts w:asciiTheme="minorEastAsia" w:hAnsiTheme="minorEastAsia" w:eastAsiaTheme="minorEastAsia"/>
          <w:szCs w:val="24"/>
          <w:u w:val="single"/>
        </w:rPr>
      </w:pPr>
      <w:r>
        <w:rPr>
          <w:rFonts w:hint="eastAsia" w:asciiTheme="minorEastAsia" w:hAnsiTheme="minorEastAsia" w:eastAsiaTheme="minorEastAsia"/>
          <w:bCs/>
          <w:szCs w:val="24"/>
        </w:rPr>
        <w:t>投 标 人（盖章）：</w:t>
      </w:r>
    </w:p>
    <w:p>
      <w:pPr>
        <w:spacing w:line="360" w:lineRule="auto"/>
        <w:ind w:left="1598" w:leftChars="666" w:firstLine="5668" w:firstLineChars="2362"/>
        <w:rPr>
          <w:rFonts w:asciiTheme="minorEastAsia" w:hAnsiTheme="minorEastAsia" w:eastAsiaTheme="minorEastAsia"/>
          <w:bCs/>
          <w:szCs w:val="24"/>
        </w:rPr>
      </w:pPr>
    </w:p>
    <w:p>
      <w:pPr>
        <w:spacing w:line="360" w:lineRule="auto"/>
        <w:ind w:firstLine="4800" w:firstLineChars="2000"/>
        <w:rPr>
          <w:rFonts w:asciiTheme="minorEastAsia" w:hAnsiTheme="minorEastAsia" w:eastAsiaTheme="minorEastAsia"/>
          <w:szCs w:val="24"/>
        </w:rPr>
      </w:pPr>
      <w:r>
        <w:rPr>
          <w:rFonts w:hint="eastAsia" w:asciiTheme="minorEastAsia" w:hAnsiTheme="minorEastAsia" w:eastAsiaTheme="minorEastAsia"/>
          <w:bCs/>
          <w:szCs w:val="24"/>
        </w:rPr>
        <w:t>法定代表人（签字或盖章）：</w:t>
      </w:r>
    </w:p>
    <w:p>
      <w:pPr>
        <w:spacing w:line="360" w:lineRule="auto"/>
        <w:ind w:left="1598" w:leftChars="666" w:firstLine="5668" w:firstLineChars="2362"/>
        <w:rPr>
          <w:rFonts w:asciiTheme="minorEastAsia" w:hAnsiTheme="minorEastAsia" w:eastAsiaTheme="minorEastAsia"/>
          <w:bCs/>
          <w:szCs w:val="24"/>
        </w:rPr>
      </w:pPr>
    </w:p>
    <w:p>
      <w:pPr>
        <w:spacing w:line="360" w:lineRule="auto"/>
        <w:ind w:firstLine="4800" w:firstLineChars="2000"/>
        <w:rPr>
          <w:rFonts w:asciiTheme="minorEastAsia" w:hAnsiTheme="minorEastAsia" w:eastAsiaTheme="minorEastAsia"/>
          <w:bCs/>
          <w:szCs w:val="24"/>
        </w:rPr>
      </w:pPr>
      <w:r>
        <w:rPr>
          <w:rFonts w:hint="eastAsia" w:asciiTheme="minorEastAsia" w:hAnsiTheme="minorEastAsia" w:eastAsiaTheme="minorEastAsia"/>
          <w:bCs/>
          <w:szCs w:val="24"/>
        </w:rPr>
        <w:t>日      期：　</w:t>
      </w:r>
      <w:r>
        <w:rPr>
          <w:rFonts w:hint="eastAsia" w:asciiTheme="minorEastAsia" w:hAnsiTheme="minorEastAsia" w:eastAsiaTheme="minorEastAsia"/>
          <w:bCs/>
          <w:szCs w:val="24"/>
          <w:u w:val="single"/>
        </w:rPr>
        <w:t xml:space="preserve"> 　</w:t>
      </w:r>
      <w:r>
        <w:rPr>
          <w:rFonts w:hint="eastAsia" w:asciiTheme="minorEastAsia" w:hAnsiTheme="minorEastAsia" w:eastAsiaTheme="minorEastAsia"/>
          <w:bCs/>
          <w:szCs w:val="24"/>
        </w:rPr>
        <w:t>年</w:t>
      </w:r>
      <w:r>
        <w:rPr>
          <w:rFonts w:hint="eastAsia" w:asciiTheme="minorEastAsia" w:hAnsiTheme="minorEastAsia" w:eastAsiaTheme="minorEastAsia"/>
          <w:bCs/>
          <w:szCs w:val="24"/>
          <w:u w:val="single"/>
        </w:rPr>
        <w:t>　 　</w:t>
      </w:r>
      <w:r>
        <w:rPr>
          <w:rFonts w:hint="eastAsia" w:asciiTheme="minorEastAsia" w:hAnsiTheme="minorEastAsia" w:eastAsiaTheme="minorEastAsia"/>
          <w:bCs/>
          <w:szCs w:val="24"/>
        </w:rPr>
        <w:t>月</w:t>
      </w:r>
      <w:r>
        <w:rPr>
          <w:rFonts w:hint="eastAsia" w:asciiTheme="minorEastAsia" w:hAnsiTheme="minorEastAsia" w:eastAsiaTheme="minorEastAsia"/>
          <w:bCs/>
          <w:szCs w:val="24"/>
          <w:u w:val="single"/>
        </w:rPr>
        <w:t>　 　</w:t>
      </w:r>
      <w:r>
        <w:rPr>
          <w:rFonts w:hint="eastAsia" w:asciiTheme="minorEastAsia" w:hAnsiTheme="minorEastAsia" w:eastAsiaTheme="minorEastAsia"/>
          <w:bCs/>
          <w:szCs w:val="24"/>
        </w:rPr>
        <w:t>日</w:t>
      </w:r>
    </w:p>
    <w:p>
      <w:pPr>
        <w:pStyle w:val="4"/>
        <w:numPr>
          <w:ilvl w:val="0"/>
          <w:numId w:val="0"/>
        </w:numPr>
        <w:ind w:left="720" w:hanging="720"/>
        <w:rPr>
          <w:rFonts w:asciiTheme="minorEastAsia" w:hAnsiTheme="minorEastAsia" w:eastAsiaTheme="minorEastAsia"/>
          <w:b w:val="0"/>
        </w:rPr>
      </w:pPr>
      <w:r>
        <w:rPr>
          <w:rFonts w:asciiTheme="minorEastAsia" w:hAnsiTheme="minorEastAsia" w:eastAsiaTheme="minorEastAsia"/>
        </w:rPr>
        <w:br w:type="page"/>
      </w:r>
    </w:p>
    <w:p>
      <w:pPr>
        <w:pStyle w:val="4"/>
        <w:numPr>
          <w:ilvl w:val="0"/>
          <w:numId w:val="0"/>
        </w:numPr>
        <w:ind w:firstLine="3373" w:firstLineChars="1050"/>
        <w:rPr>
          <w:rFonts w:cs="宋体" w:asciiTheme="minorEastAsia" w:hAnsiTheme="minorEastAsia" w:eastAsiaTheme="minorEastAsia"/>
          <w:szCs w:val="24"/>
        </w:rPr>
      </w:pPr>
      <w:r>
        <w:rPr>
          <w:rFonts w:hint="eastAsia" w:asciiTheme="minorEastAsia" w:hAnsiTheme="minorEastAsia" w:eastAsiaTheme="minorEastAsia"/>
        </w:rPr>
        <w:t>三、资格证明文件</w:t>
      </w:r>
    </w:p>
    <w:p>
      <w:pPr>
        <w:spacing w:beforeLines="50" w:line="360" w:lineRule="auto"/>
        <w:ind w:firstLine="482" w:firstLineChars="200"/>
        <w:rPr>
          <w:rFonts w:asciiTheme="minorEastAsia" w:hAnsiTheme="minorEastAsia" w:eastAsiaTheme="minorEastAsia"/>
          <w:b/>
        </w:rPr>
      </w:pP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1、在中国境内注册具有独立法人资格，持有合法营业执照；</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2、具有良好的商业信誉和健全的财务会计制度，提供2019或2020年度经第三方审计机构出具的财务审计报告；</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3、具有履行合同所必需的设备和专业技术能力,提供承诺书；</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4、有依法缴纳税收和社会保障资金的良好记录，提供单位近六个月中任意三个月的税收和社保缴纳证明；</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5、参加政府采购活动前三年内，在经营活动中没有重大违法记录；</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6、投标人是全国投资项目在线审批监管平台备案的工程咨询企业；</w:t>
      </w:r>
    </w:p>
    <w:p>
      <w:pPr>
        <w:adjustRightInd w:val="0"/>
        <w:snapToGrid w:val="0"/>
        <w:spacing w:line="360" w:lineRule="auto"/>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7、投标人通过“信用中国”网站(www.creditchina.gov.cn)查询投标人“未被列入失信被执行人”、“重大税收违法案件当事人名单”等相关主体信用记录；（提供查询结果网页截图并加盖投标人公章）；</w:t>
      </w:r>
    </w:p>
    <w:p>
      <w:pPr>
        <w:widowControl/>
        <w:adjustRightInd w:val="0"/>
        <w:snapToGrid w:val="0"/>
        <w:spacing w:line="360" w:lineRule="auto"/>
        <w:ind w:firstLine="480" w:firstLineChars="200"/>
        <w:jc w:val="left"/>
        <w:rPr>
          <w:rFonts w:cs="宋体" w:asciiTheme="minorEastAsia" w:hAnsiTheme="minorEastAsia" w:eastAsiaTheme="minorEastAsia"/>
          <w:szCs w:val="24"/>
        </w:rPr>
      </w:pPr>
      <w:r>
        <w:rPr>
          <w:rFonts w:hint="eastAsia" w:cs="宋体" w:asciiTheme="minorEastAsia" w:hAnsiTheme="minorEastAsia" w:eastAsiaTheme="minorEastAsia"/>
          <w:szCs w:val="24"/>
        </w:rPr>
        <w:t>8、本项目不允许联合体参与投标。</w:t>
      </w:r>
    </w:p>
    <w:p>
      <w:pPr>
        <w:pStyle w:val="4"/>
        <w:numPr>
          <w:ilvl w:val="0"/>
          <w:numId w:val="0"/>
        </w:numPr>
        <w:ind w:firstLine="3360" w:firstLineChars="1050"/>
        <w:rPr>
          <w:rFonts w:asciiTheme="minorEastAsia" w:hAnsiTheme="minorEastAsia" w:eastAsiaTheme="minorEastAsia"/>
          <w:b w:val="0"/>
          <w:szCs w:val="24"/>
        </w:rPr>
      </w:pPr>
      <w:r>
        <w:rPr>
          <w:rFonts w:cs="宋体" w:asciiTheme="minorEastAsia" w:hAnsiTheme="minorEastAsia" w:eastAsiaTheme="minorEastAsia"/>
          <w:b w:val="0"/>
          <w:szCs w:val="24"/>
        </w:rPr>
        <w:br w:type="page"/>
      </w:r>
      <w:r>
        <w:rPr>
          <w:rFonts w:hint="eastAsia" w:asciiTheme="minorEastAsia" w:hAnsiTheme="minorEastAsia" w:eastAsiaTheme="minorEastAsia"/>
        </w:rPr>
        <w:t>四、投标人总体情况一览表</w:t>
      </w:r>
    </w:p>
    <w:tbl>
      <w:tblPr>
        <w:tblStyle w:val="24"/>
        <w:tblW w:w="9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52"/>
        <w:gridCol w:w="4987"/>
        <w:gridCol w:w="94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13" w:type="dxa"/>
            <w:gridSpan w:val="2"/>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公司名称</w:t>
            </w:r>
          </w:p>
        </w:tc>
        <w:tc>
          <w:tcPr>
            <w:tcW w:w="7572" w:type="dxa"/>
            <w:gridSpan w:val="3"/>
          </w:tcPr>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1913" w:type="dxa"/>
            <w:gridSpan w:val="2"/>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注册资金</w:t>
            </w:r>
          </w:p>
        </w:tc>
        <w:tc>
          <w:tcPr>
            <w:tcW w:w="7572" w:type="dxa"/>
            <w:gridSpan w:val="3"/>
          </w:tcPr>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913" w:type="dxa"/>
            <w:gridSpan w:val="2"/>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地  址</w:t>
            </w:r>
          </w:p>
        </w:tc>
        <w:tc>
          <w:tcPr>
            <w:tcW w:w="4987" w:type="dxa"/>
          </w:tcPr>
          <w:p>
            <w:pPr>
              <w:spacing w:line="440" w:lineRule="exact"/>
              <w:rPr>
                <w:rFonts w:asciiTheme="minorEastAsia" w:hAnsiTheme="minorEastAsia" w:eastAsiaTheme="minorEastAsia"/>
                <w:szCs w:val="24"/>
              </w:rPr>
            </w:pPr>
          </w:p>
        </w:tc>
        <w:tc>
          <w:tcPr>
            <w:tcW w:w="948" w:type="dxa"/>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邮编</w:t>
            </w:r>
          </w:p>
        </w:tc>
        <w:tc>
          <w:tcPr>
            <w:tcW w:w="1637" w:type="dxa"/>
          </w:tcPr>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913" w:type="dxa"/>
            <w:gridSpan w:val="2"/>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主要业务范围</w:t>
            </w:r>
          </w:p>
        </w:tc>
        <w:tc>
          <w:tcPr>
            <w:tcW w:w="7572" w:type="dxa"/>
            <w:gridSpan w:val="3"/>
          </w:tcPr>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913" w:type="dxa"/>
            <w:gridSpan w:val="2"/>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企业性质</w:t>
            </w:r>
          </w:p>
        </w:tc>
        <w:tc>
          <w:tcPr>
            <w:tcW w:w="7572" w:type="dxa"/>
            <w:gridSpan w:val="3"/>
          </w:tcPr>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913" w:type="dxa"/>
            <w:gridSpan w:val="2"/>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成立时间</w:t>
            </w:r>
          </w:p>
        </w:tc>
        <w:tc>
          <w:tcPr>
            <w:tcW w:w="7572" w:type="dxa"/>
            <w:gridSpan w:val="3"/>
          </w:tcPr>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1913" w:type="dxa"/>
            <w:gridSpan w:val="2"/>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统一信用代码</w:t>
            </w:r>
          </w:p>
        </w:tc>
        <w:tc>
          <w:tcPr>
            <w:tcW w:w="7572" w:type="dxa"/>
            <w:gridSpan w:val="3"/>
          </w:tcPr>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9" w:hRule="atLeast"/>
          <w:jc w:val="center"/>
        </w:trPr>
        <w:tc>
          <w:tcPr>
            <w:tcW w:w="1661" w:type="dxa"/>
            <w:vAlign w:val="center"/>
          </w:tcPr>
          <w:p>
            <w:pPr>
              <w:spacing w:line="440" w:lineRule="exact"/>
              <w:jc w:val="center"/>
              <w:rPr>
                <w:rFonts w:asciiTheme="minorEastAsia" w:hAnsiTheme="minorEastAsia" w:eastAsiaTheme="minorEastAsia"/>
                <w:szCs w:val="24"/>
              </w:rPr>
            </w:pPr>
            <w:r>
              <w:rPr>
                <w:rFonts w:hint="eastAsia" w:asciiTheme="minorEastAsia" w:hAnsiTheme="minorEastAsia" w:eastAsiaTheme="minorEastAsia"/>
                <w:szCs w:val="24"/>
              </w:rPr>
              <w:t>公司介绍</w:t>
            </w:r>
          </w:p>
        </w:tc>
        <w:tc>
          <w:tcPr>
            <w:tcW w:w="7825" w:type="dxa"/>
            <w:gridSpan w:val="4"/>
          </w:tcPr>
          <w:p>
            <w:pPr>
              <w:spacing w:line="440" w:lineRule="exact"/>
              <w:jc w:val="center"/>
              <w:rPr>
                <w:rFonts w:asciiTheme="minorEastAsia" w:hAnsiTheme="minorEastAsia" w:eastAsiaTheme="minorEastAsia"/>
                <w:szCs w:val="24"/>
              </w:rPr>
            </w:pPr>
          </w:p>
          <w:p>
            <w:pPr>
              <w:spacing w:line="440" w:lineRule="exact"/>
              <w:jc w:val="center"/>
              <w:rPr>
                <w:rFonts w:asciiTheme="minorEastAsia" w:hAnsiTheme="minorEastAsia" w:eastAsiaTheme="minorEastAsia"/>
                <w:szCs w:val="24"/>
              </w:rPr>
            </w:pPr>
          </w:p>
          <w:p>
            <w:pPr>
              <w:spacing w:line="440" w:lineRule="exact"/>
              <w:jc w:val="center"/>
              <w:rPr>
                <w:rFonts w:asciiTheme="minorEastAsia" w:hAnsiTheme="minorEastAsia" w:eastAsiaTheme="minorEastAsia"/>
                <w:szCs w:val="24"/>
              </w:rPr>
            </w:pPr>
          </w:p>
          <w:p>
            <w:pPr>
              <w:spacing w:line="440" w:lineRule="exact"/>
              <w:jc w:val="center"/>
              <w:rPr>
                <w:rFonts w:asciiTheme="minorEastAsia" w:hAnsiTheme="minorEastAsia" w:eastAsiaTheme="minorEastAsia"/>
                <w:szCs w:val="24"/>
              </w:rPr>
            </w:pPr>
          </w:p>
          <w:p>
            <w:pPr>
              <w:spacing w:line="440" w:lineRule="exact"/>
              <w:jc w:val="center"/>
              <w:rPr>
                <w:rFonts w:asciiTheme="minorEastAsia" w:hAnsiTheme="minorEastAsia" w:eastAsiaTheme="minorEastAsia"/>
                <w:szCs w:val="24"/>
              </w:rPr>
            </w:pPr>
          </w:p>
          <w:p>
            <w:pPr>
              <w:spacing w:line="440" w:lineRule="exact"/>
              <w:jc w:val="center"/>
              <w:rPr>
                <w:rFonts w:asciiTheme="minorEastAsia" w:hAnsiTheme="minorEastAsia" w:eastAsiaTheme="minorEastAsia"/>
                <w:szCs w:val="24"/>
              </w:rPr>
            </w:pPr>
          </w:p>
          <w:p>
            <w:pPr>
              <w:spacing w:line="440" w:lineRule="exact"/>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9485" w:type="dxa"/>
            <w:gridSpan w:val="5"/>
          </w:tcPr>
          <w:p>
            <w:pPr>
              <w:autoSpaceDE w:val="0"/>
              <w:autoSpaceDN w:val="0"/>
              <w:adjustRightInd w:val="0"/>
              <w:spacing w:line="300" w:lineRule="atLeast"/>
              <w:jc w:val="left"/>
              <w:rPr>
                <w:rFonts w:asciiTheme="minorEastAsia" w:hAnsiTheme="minorEastAsia" w:eastAsiaTheme="minorEastAsia"/>
                <w:kern w:val="0"/>
                <w:szCs w:val="24"/>
              </w:rPr>
            </w:pPr>
            <w:r>
              <w:rPr>
                <w:rFonts w:hint="eastAsia" w:cs="宋体" w:asciiTheme="minorEastAsia" w:hAnsiTheme="minorEastAsia" w:eastAsiaTheme="minorEastAsia"/>
                <w:kern w:val="0"/>
                <w:szCs w:val="24"/>
                <w:lang w:val="zh-CN"/>
              </w:rPr>
              <w:t>我单位保证本表所填报内容全部属实。</w:t>
            </w:r>
          </w:p>
          <w:p>
            <w:pPr>
              <w:autoSpaceDE w:val="0"/>
              <w:autoSpaceDN w:val="0"/>
              <w:adjustRightInd w:val="0"/>
              <w:spacing w:line="300" w:lineRule="atLeast"/>
              <w:jc w:val="left"/>
              <w:rPr>
                <w:rFonts w:asciiTheme="minorEastAsia" w:hAnsiTheme="minorEastAsia" w:eastAsiaTheme="minorEastAsia"/>
                <w:kern w:val="0"/>
                <w:szCs w:val="24"/>
              </w:rPr>
            </w:pPr>
          </w:p>
          <w:p>
            <w:pPr>
              <w:autoSpaceDE w:val="0"/>
              <w:autoSpaceDN w:val="0"/>
              <w:adjustRightInd w:val="0"/>
              <w:spacing w:line="300" w:lineRule="atLeast"/>
              <w:rPr>
                <w:rFonts w:asciiTheme="minorEastAsia" w:hAnsiTheme="minorEastAsia" w:eastAsiaTheme="minorEastAsia"/>
                <w:kern w:val="0"/>
                <w:szCs w:val="24"/>
              </w:rPr>
            </w:pPr>
            <w:r>
              <w:rPr>
                <w:rFonts w:hint="eastAsia" w:cs="宋体" w:asciiTheme="minorEastAsia" w:hAnsiTheme="minorEastAsia" w:eastAsiaTheme="minorEastAsia"/>
                <w:kern w:val="0"/>
                <w:szCs w:val="24"/>
                <w:lang w:val="zh-CN"/>
              </w:rPr>
              <w:t>法定代表人或委托代理人：（签字或盖章）</w:t>
            </w:r>
          </w:p>
          <w:p>
            <w:pPr>
              <w:autoSpaceDE w:val="0"/>
              <w:autoSpaceDN w:val="0"/>
              <w:adjustRightInd w:val="0"/>
              <w:spacing w:line="300" w:lineRule="atLeast"/>
              <w:rPr>
                <w:rFonts w:asciiTheme="minorEastAsia" w:hAnsiTheme="minorEastAsia" w:eastAsiaTheme="minorEastAsia"/>
                <w:kern w:val="0"/>
                <w:szCs w:val="24"/>
              </w:rPr>
            </w:pPr>
          </w:p>
          <w:p>
            <w:pPr>
              <w:autoSpaceDE w:val="0"/>
              <w:autoSpaceDN w:val="0"/>
              <w:adjustRightInd w:val="0"/>
              <w:spacing w:line="300" w:lineRule="atLeast"/>
              <w:rPr>
                <w:rFonts w:asciiTheme="minorEastAsia" w:hAnsiTheme="minorEastAsia" w:eastAsiaTheme="minorEastAsia"/>
                <w:kern w:val="0"/>
                <w:szCs w:val="24"/>
              </w:rPr>
            </w:pPr>
            <w:r>
              <w:rPr>
                <w:rFonts w:hint="eastAsia" w:cs="宋体" w:asciiTheme="minorEastAsia" w:hAnsiTheme="minorEastAsia" w:eastAsiaTheme="minorEastAsia"/>
                <w:kern w:val="0"/>
                <w:szCs w:val="24"/>
                <w:lang w:val="zh-CN"/>
              </w:rPr>
              <w:t>供应商：（盖章）</w:t>
            </w:r>
          </w:p>
          <w:p>
            <w:pPr>
              <w:autoSpaceDE w:val="0"/>
              <w:autoSpaceDN w:val="0"/>
              <w:adjustRightInd w:val="0"/>
              <w:spacing w:line="300" w:lineRule="atLeast"/>
              <w:rPr>
                <w:rFonts w:asciiTheme="minorEastAsia" w:hAnsiTheme="minorEastAsia" w:eastAsiaTheme="minorEastAsia"/>
                <w:kern w:val="0"/>
                <w:szCs w:val="24"/>
              </w:rPr>
            </w:pPr>
          </w:p>
          <w:p>
            <w:pPr>
              <w:spacing w:line="440" w:lineRule="exact"/>
              <w:ind w:firstLine="960" w:firstLineChars="400"/>
              <w:rPr>
                <w:rFonts w:asciiTheme="minorEastAsia" w:hAnsiTheme="minorEastAsia" w:eastAsiaTheme="minorEastAsia"/>
                <w:szCs w:val="24"/>
              </w:rPr>
            </w:pPr>
            <w:r>
              <w:rPr>
                <w:rFonts w:hint="eastAsia" w:cs="宋体" w:asciiTheme="minorEastAsia" w:hAnsiTheme="minorEastAsia" w:eastAsiaTheme="minorEastAsia"/>
                <w:kern w:val="0"/>
                <w:szCs w:val="24"/>
                <w:lang w:val="zh-CN"/>
              </w:rPr>
              <w:t>年   月   日</w:t>
            </w:r>
          </w:p>
        </w:tc>
      </w:tr>
    </w:tbl>
    <w:p>
      <w:pPr>
        <w:jc w:val="left"/>
        <w:rPr>
          <w:rFonts w:asciiTheme="minorEastAsia" w:hAnsiTheme="minorEastAsia" w:eastAsiaTheme="minorEastAsia"/>
          <w:b/>
        </w:rPr>
      </w:pPr>
    </w:p>
    <w:p>
      <w:pPr>
        <w:jc w:val="left"/>
        <w:rPr>
          <w:rFonts w:asciiTheme="minorEastAsia" w:hAnsiTheme="minorEastAsia" w:eastAsiaTheme="minorEastAsia"/>
          <w:b/>
        </w:rPr>
      </w:pPr>
      <w:r>
        <w:rPr>
          <w:rFonts w:asciiTheme="minorEastAsia" w:hAnsiTheme="minorEastAsia" w:eastAsiaTheme="minorEastAsia"/>
          <w:b/>
        </w:rPr>
        <w:br w:type="page"/>
      </w:r>
    </w:p>
    <w:p>
      <w:pPr>
        <w:jc w:val="center"/>
        <w:rPr>
          <w:rFonts w:asciiTheme="minorEastAsia" w:hAnsiTheme="minorEastAsia" w:eastAsiaTheme="minorEastAsia"/>
          <w:b/>
        </w:rPr>
      </w:pPr>
    </w:p>
    <w:p>
      <w:pPr>
        <w:pStyle w:val="4"/>
        <w:numPr>
          <w:ilvl w:val="0"/>
          <w:numId w:val="0"/>
        </w:numPr>
        <w:ind w:firstLine="3373" w:firstLineChars="1050"/>
        <w:rPr>
          <w:rFonts w:asciiTheme="minorEastAsia" w:hAnsiTheme="minorEastAsia" w:eastAsiaTheme="minorEastAsia"/>
        </w:rPr>
      </w:pPr>
      <w:r>
        <w:rPr>
          <w:rFonts w:hint="eastAsia" w:asciiTheme="minorEastAsia" w:hAnsiTheme="minorEastAsia" w:eastAsiaTheme="minorEastAsia"/>
        </w:rPr>
        <w:t>五、法人代表授权委托书</w:t>
      </w:r>
    </w:p>
    <w:p>
      <w:pPr>
        <w:jc w:val="center"/>
        <w:rPr>
          <w:rFonts w:cs="宋体" w:asciiTheme="minorEastAsia" w:hAnsiTheme="minorEastAsia" w:eastAsiaTheme="minorEastAsia"/>
          <w:b/>
          <w:szCs w:val="24"/>
        </w:rPr>
      </w:pPr>
    </w:p>
    <w:p>
      <w:pPr>
        <w:spacing w:line="600" w:lineRule="exact"/>
        <w:rPr>
          <w:rFonts w:asciiTheme="minorEastAsia" w:hAnsiTheme="minorEastAsia" w:eastAsiaTheme="minorEastAsia"/>
          <w:szCs w:val="24"/>
        </w:rPr>
      </w:pPr>
      <w:r>
        <w:rPr>
          <w:rFonts w:hint="eastAsia" w:asciiTheme="minorEastAsia" w:hAnsiTheme="minorEastAsia" w:eastAsiaTheme="minorEastAsia"/>
          <w:szCs w:val="24"/>
        </w:rPr>
        <w:t>致：</w:t>
      </w:r>
      <w:r>
        <w:rPr>
          <w:rFonts w:hint="eastAsia" w:asciiTheme="minorEastAsia" w:hAnsiTheme="minorEastAsia" w:eastAsiaTheme="minorEastAsia"/>
          <w:szCs w:val="24"/>
          <w:u w:val="single"/>
        </w:rPr>
        <w:t>新疆交通建设集团股份有限公司</w:t>
      </w:r>
    </w:p>
    <w:p>
      <w:pPr>
        <w:adjustRightInd w:val="0"/>
        <w:snapToGrid w:val="0"/>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兹委托我公司作为本公司的合法代理人，以本公司名义参加贵方项目</w:t>
      </w:r>
      <w:r>
        <w:rPr>
          <w:rFonts w:hint="eastAsia" w:asciiTheme="minorEastAsia" w:hAnsiTheme="minorEastAsia" w:eastAsiaTheme="minorEastAsia"/>
          <w:szCs w:val="24"/>
          <w:u w:val="single"/>
        </w:rPr>
        <w:t>（项目名称；招标编号）</w:t>
      </w:r>
      <w:r>
        <w:rPr>
          <w:rFonts w:hint="eastAsia" w:asciiTheme="minorEastAsia" w:hAnsiTheme="minorEastAsia" w:eastAsiaTheme="minorEastAsia"/>
          <w:szCs w:val="24"/>
        </w:rPr>
        <w:t>的投标。</w:t>
      </w:r>
    </w:p>
    <w:p>
      <w:pPr>
        <w:adjustRightInd w:val="0"/>
        <w:snapToGrid w:val="0"/>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委托权限：参加投标、开标、负责合同的签订，以本公司名义处理一切与之有关的事务。</w:t>
      </w:r>
    </w:p>
    <w:p>
      <w:pPr>
        <w:adjustRightInd w:val="0"/>
        <w:snapToGrid w:val="0"/>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委托期间：本授权书自年月日至年月日有效。</w:t>
      </w:r>
    </w:p>
    <w:p>
      <w:pPr>
        <w:adjustRightInd w:val="0"/>
        <w:snapToGrid w:val="0"/>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代理人无转委权，特此委托。</w:t>
      </w:r>
    </w:p>
    <w:p>
      <w:pPr>
        <w:spacing w:line="600" w:lineRule="exact"/>
        <w:ind w:firstLine="480" w:firstLineChars="200"/>
        <w:rPr>
          <w:rFonts w:asciiTheme="minorEastAsia" w:hAnsiTheme="minorEastAsia" w:eastAsiaTheme="minorEastAsia"/>
          <w:szCs w:val="24"/>
        </w:rPr>
      </w:pPr>
    </w:p>
    <w:p>
      <w:pPr>
        <w:spacing w:line="400" w:lineRule="atLeas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代理人（被授权人）情况：</w:t>
      </w:r>
    </w:p>
    <w:p>
      <w:pPr>
        <w:spacing w:line="400" w:lineRule="atLeas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姓名___________________性别______年龄___________职务__________</w:t>
      </w:r>
    </w:p>
    <w:p>
      <w:pPr>
        <w:spacing w:line="400" w:lineRule="atLeas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联系地址______________________________________________________  </w:t>
      </w:r>
    </w:p>
    <w:p>
      <w:pPr>
        <w:spacing w:line="400" w:lineRule="atLeas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邮编___________________电话_________________传真______________</w:t>
      </w:r>
    </w:p>
    <w:p>
      <w:pPr>
        <w:spacing w:line="400" w:lineRule="atLeas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身份证________________________________</w:t>
      </w:r>
    </w:p>
    <w:p>
      <w:pPr>
        <w:spacing w:line="400" w:lineRule="atLeast"/>
        <w:ind w:firstLine="480" w:firstLineChars="200"/>
        <w:rPr>
          <w:rFonts w:asciiTheme="minorEastAsia" w:hAnsiTheme="minorEastAsia" w:eastAsiaTheme="minorEastAsia"/>
          <w:szCs w:val="24"/>
        </w:rPr>
      </w:pP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投标人(公章)：                        </w:t>
      </w:r>
    </w:p>
    <w:p>
      <w:pPr>
        <w:spacing w:line="360" w:lineRule="auto"/>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 xml:space="preserve">法定代表人(签字或盖章)：_____________________________                        </w:t>
      </w:r>
    </w:p>
    <w:p>
      <w:pPr>
        <w:ind w:firstLine="480" w:firstLineChars="200"/>
        <w:rPr>
          <w:rFonts w:cs="宋体" w:asciiTheme="minorEastAsia" w:hAnsiTheme="minorEastAsia" w:eastAsiaTheme="minorEastAsia"/>
          <w:szCs w:val="24"/>
        </w:rPr>
      </w:pPr>
      <w:r>
        <w:rPr>
          <w:rFonts w:hint="eastAsia" w:asciiTheme="minorEastAsia" w:hAnsiTheme="minorEastAsia" w:eastAsiaTheme="minorEastAsia"/>
          <w:szCs w:val="24"/>
        </w:rPr>
        <w:t>授权日期：___________________________</w:t>
      </w:r>
    </w:p>
    <w:p>
      <w:pPr>
        <w:rPr>
          <w:rFonts w:cs="宋体" w:asciiTheme="minorEastAsia" w:hAnsiTheme="minorEastAsia" w:eastAsiaTheme="minorEastAsia"/>
          <w:szCs w:val="24"/>
        </w:rPr>
      </w:pPr>
    </w:p>
    <w:p>
      <w:pPr>
        <w:jc w:val="center"/>
        <w:rPr>
          <w:rFonts w:asciiTheme="minorEastAsia" w:hAnsiTheme="minorEastAsia" w:eastAsiaTheme="minorEastAsia"/>
          <w:b/>
          <w:szCs w:val="24"/>
        </w:rPr>
      </w:pPr>
      <w:r>
        <w:rPr>
          <w:rFonts w:cs="宋体" w:asciiTheme="minorEastAsia" w:hAnsiTheme="minorEastAsia" w:eastAsiaTheme="minorEastAsia"/>
          <w:szCs w:val="24"/>
        </w:rPr>
        <w:br w:type="page"/>
      </w:r>
    </w:p>
    <w:p>
      <w:pPr>
        <w:pStyle w:val="4"/>
        <w:numPr>
          <w:ilvl w:val="0"/>
          <w:numId w:val="0"/>
        </w:numPr>
        <w:ind w:firstLine="3373" w:firstLineChars="1050"/>
        <w:rPr>
          <w:rFonts w:asciiTheme="minorEastAsia" w:hAnsiTheme="minorEastAsia" w:eastAsiaTheme="minorEastAsia"/>
        </w:rPr>
      </w:pPr>
      <w:r>
        <w:rPr>
          <w:rFonts w:hint="eastAsia" w:asciiTheme="minorEastAsia" w:hAnsiTheme="minorEastAsia" w:eastAsiaTheme="minorEastAsia"/>
        </w:rPr>
        <w:t>六、拟投入本项目人员一览表</w:t>
      </w:r>
    </w:p>
    <w:p>
      <w:pPr>
        <w:rPr>
          <w:rFonts w:cs="宋体" w:asciiTheme="minorEastAsia" w:hAnsiTheme="minorEastAsia" w:eastAsiaTheme="minorEastAsia"/>
          <w:szCs w:val="24"/>
        </w:rPr>
      </w:pPr>
      <w:bookmarkStart w:id="2" w:name="_Toc208996764"/>
    </w:p>
    <w:bookmarkEnd w:id="2"/>
    <w:tbl>
      <w:tblPr>
        <w:tblStyle w:val="2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231"/>
        <w:gridCol w:w="970"/>
        <w:gridCol w:w="1484"/>
        <w:gridCol w:w="2593"/>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757" w:type="dxa"/>
            <w:vAlign w:val="center"/>
          </w:tcPr>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序号</w:t>
            </w:r>
          </w:p>
        </w:tc>
        <w:tc>
          <w:tcPr>
            <w:tcW w:w="1231" w:type="dxa"/>
            <w:vAlign w:val="center"/>
          </w:tcPr>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姓 名</w:t>
            </w:r>
          </w:p>
        </w:tc>
        <w:tc>
          <w:tcPr>
            <w:tcW w:w="970" w:type="dxa"/>
            <w:vAlign w:val="center"/>
          </w:tcPr>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学 历</w:t>
            </w:r>
          </w:p>
        </w:tc>
        <w:tc>
          <w:tcPr>
            <w:tcW w:w="1484" w:type="dxa"/>
            <w:vAlign w:val="center"/>
          </w:tcPr>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证书</w:t>
            </w:r>
          </w:p>
        </w:tc>
        <w:tc>
          <w:tcPr>
            <w:tcW w:w="2593" w:type="dxa"/>
            <w:vAlign w:val="center"/>
          </w:tcPr>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在本项目拟任职务</w:t>
            </w:r>
          </w:p>
        </w:tc>
        <w:tc>
          <w:tcPr>
            <w:tcW w:w="1904" w:type="dxa"/>
          </w:tcPr>
          <w:p>
            <w:pPr>
              <w:spacing w:line="360" w:lineRule="auto"/>
              <w:jc w:val="center"/>
              <w:rPr>
                <w:rFonts w:asciiTheme="minorEastAsia" w:hAnsiTheme="minorEastAsia" w:eastAsiaTheme="minorEastAsia"/>
                <w:b/>
                <w:szCs w:val="24"/>
              </w:rPr>
            </w:pPr>
            <w:r>
              <w:rPr>
                <w:rFonts w:hint="eastAsia" w:asciiTheme="minorEastAsia" w:hAnsiTheme="minorEastAsia" w:eastAsiaTheme="minorEastAsia"/>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57" w:type="dxa"/>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1</w:t>
            </w:r>
          </w:p>
        </w:tc>
        <w:tc>
          <w:tcPr>
            <w:tcW w:w="1231" w:type="dxa"/>
            <w:vAlign w:val="center"/>
          </w:tcPr>
          <w:p>
            <w:pPr>
              <w:spacing w:line="360" w:lineRule="auto"/>
              <w:jc w:val="center"/>
              <w:rPr>
                <w:rFonts w:asciiTheme="minorEastAsia" w:hAnsiTheme="minorEastAsia" w:eastAsiaTheme="minorEastAsia"/>
                <w:spacing w:val="20"/>
                <w:szCs w:val="24"/>
              </w:rPr>
            </w:pPr>
          </w:p>
        </w:tc>
        <w:tc>
          <w:tcPr>
            <w:tcW w:w="970" w:type="dxa"/>
            <w:vAlign w:val="center"/>
          </w:tcPr>
          <w:p>
            <w:pPr>
              <w:spacing w:line="360" w:lineRule="auto"/>
              <w:jc w:val="center"/>
              <w:rPr>
                <w:rFonts w:asciiTheme="minorEastAsia" w:hAnsiTheme="minorEastAsia" w:eastAsiaTheme="minorEastAsia"/>
                <w:spacing w:val="20"/>
                <w:szCs w:val="24"/>
              </w:rPr>
            </w:pPr>
          </w:p>
        </w:tc>
        <w:tc>
          <w:tcPr>
            <w:tcW w:w="1484" w:type="dxa"/>
            <w:vAlign w:val="center"/>
          </w:tcPr>
          <w:p>
            <w:pPr>
              <w:spacing w:line="360" w:lineRule="auto"/>
              <w:jc w:val="center"/>
              <w:rPr>
                <w:rFonts w:asciiTheme="minorEastAsia" w:hAnsiTheme="minorEastAsia" w:eastAsiaTheme="minorEastAsia"/>
                <w:spacing w:val="20"/>
                <w:szCs w:val="24"/>
              </w:rPr>
            </w:pPr>
          </w:p>
        </w:tc>
        <w:tc>
          <w:tcPr>
            <w:tcW w:w="2593" w:type="dxa"/>
            <w:vAlign w:val="center"/>
          </w:tcPr>
          <w:p>
            <w:pPr>
              <w:spacing w:line="360" w:lineRule="auto"/>
              <w:jc w:val="center"/>
              <w:rPr>
                <w:rFonts w:asciiTheme="minorEastAsia" w:hAnsiTheme="minorEastAsia" w:eastAsiaTheme="minorEastAsia"/>
                <w:spacing w:val="20"/>
                <w:szCs w:val="24"/>
              </w:rPr>
            </w:pPr>
          </w:p>
        </w:tc>
        <w:tc>
          <w:tcPr>
            <w:tcW w:w="1904" w:type="dxa"/>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57" w:type="dxa"/>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2</w:t>
            </w:r>
          </w:p>
        </w:tc>
        <w:tc>
          <w:tcPr>
            <w:tcW w:w="1231" w:type="dxa"/>
            <w:vAlign w:val="center"/>
          </w:tcPr>
          <w:p>
            <w:pPr>
              <w:spacing w:line="360" w:lineRule="auto"/>
              <w:jc w:val="center"/>
              <w:rPr>
                <w:rFonts w:asciiTheme="minorEastAsia" w:hAnsiTheme="minorEastAsia" w:eastAsiaTheme="minorEastAsia"/>
                <w:spacing w:val="20"/>
                <w:szCs w:val="24"/>
              </w:rPr>
            </w:pPr>
          </w:p>
        </w:tc>
        <w:tc>
          <w:tcPr>
            <w:tcW w:w="970" w:type="dxa"/>
            <w:vAlign w:val="center"/>
          </w:tcPr>
          <w:p>
            <w:pPr>
              <w:spacing w:line="360" w:lineRule="auto"/>
              <w:jc w:val="center"/>
              <w:rPr>
                <w:rFonts w:asciiTheme="minorEastAsia" w:hAnsiTheme="minorEastAsia" w:eastAsiaTheme="minorEastAsia"/>
                <w:spacing w:val="20"/>
                <w:szCs w:val="24"/>
              </w:rPr>
            </w:pPr>
          </w:p>
        </w:tc>
        <w:tc>
          <w:tcPr>
            <w:tcW w:w="1484" w:type="dxa"/>
            <w:vAlign w:val="center"/>
          </w:tcPr>
          <w:p>
            <w:pPr>
              <w:spacing w:line="360" w:lineRule="auto"/>
              <w:jc w:val="center"/>
              <w:rPr>
                <w:rFonts w:asciiTheme="minorEastAsia" w:hAnsiTheme="minorEastAsia" w:eastAsiaTheme="minorEastAsia"/>
                <w:spacing w:val="20"/>
                <w:szCs w:val="24"/>
              </w:rPr>
            </w:pPr>
          </w:p>
        </w:tc>
        <w:tc>
          <w:tcPr>
            <w:tcW w:w="2593" w:type="dxa"/>
            <w:vAlign w:val="center"/>
          </w:tcPr>
          <w:p>
            <w:pPr>
              <w:spacing w:line="360" w:lineRule="auto"/>
              <w:jc w:val="center"/>
              <w:rPr>
                <w:rFonts w:asciiTheme="minorEastAsia" w:hAnsiTheme="minorEastAsia" w:eastAsiaTheme="minorEastAsia"/>
                <w:spacing w:val="20"/>
                <w:szCs w:val="24"/>
              </w:rPr>
            </w:pPr>
          </w:p>
        </w:tc>
        <w:tc>
          <w:tcPr>
            <w:tcW w:w="1904" w:type="dxa"/>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57" w:type="dxa"/>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3</w:t>
            </w:r>
          </w:p>
        </w:tc>
        <w:tc>
          <w:tcPr>
            <w:tcW w:w="1231" w:type="dxa"/>
            <w:vAlign w:val="center"/>
          </w:tcPr>
          <w:p>
            <w:pPr>
              <w:spacing w:line="360" w:lineRule="auto"/>
              <w:jc w:val="center"/>
              <w:rPr>
                <w:rFonts w:asciiTheme="minorEastAsia" w:hAnsiTheme="minorEastAsia" w:eastAsiaTheme="minorEastAsia"/>
                <w:spacing w:val="20"/>
                <w:szCs w:val="24"/>
              </w:rPr>
            </w:pPr>
          </w:p>
        </w:tc>
        <w:tc>
          <w:tcPr>
            <w:tcW w:w="970" w:type="dxa"/>
            <w:vAlign w:val="center"/>
          </w:tcPr>
          <w:p>
            <w:pPr>
              <w:spacing w:line="360" w:lineRule="auto"/>
              <w:jc w:val="center"/>
              <w:rPr>
                <w:rFonts w:asciiTheme="minorEastAsia" w:hAnsiTheme="minorEastAsia" w:eastAsiaTheme="minorEastAsia"/>
                <w:spacing w:val="20"/>
                <w:szCs w:val="24"/>
              </w:rPr>
            </w:pPr>
          </w:p>
        </w:tc>
        <w:tc>
          <w:tcPr>
            <w:tcW w:w="1484" w:type="dxa"/>
            <w:vAlign w:val="center"/>
          </w:tcPr>
          <w:p>
            <w:pPr>
              <w:spacing w:line="360" w:lineRule="auto"/>
              <w:jc w:val="center"/>
              <w:rPr>
                <w:rFonts w:asciiTheme="minorEastAsia" w:hAnsiTheme="minorEastAsia" w:eastAsiaTheme="minorEastAsia"/>
                <w:spacing w:val="20"/>
                <w:szCs w:val="24"/>
              </w:rPr>
            </w:pPr>
          </w:p>
        </w:tc>
        <w:tc>
          <w:tcPr>
            <w:tcW w:w="2593" w:type="dxa"/>
            <w:vAlign w:val="center"/>
          </w:tcPr>
          <w:p>
            <w:pPr>
              <w:spacing w:line="360" w:lineRule="auto"/>
              <w:jc w:val="center"/>
              <w:rPr>
                <w:rFonts w:asciiTheme="minorEastAsia" w:hAnsiTheme="minorEastAsia" w:eastAsiaTheme="minorEastAsia"/>
                <w:spacing w:val="20"/>
                <w:szCs w:val="24"/>
              </w:rPr>
            </w:pPr>
          </w:p>
        </w:tc>
        <w:tc>
          <w:tcPr>
            <w:tcW w:w="1904" w:type="dxa"/>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57" w:type="dxa"/>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4</w:t>
            </w:r>
          </w:p>
        </w:tc>
        <w:tc>
          <w:tcPr>
            <w:tcW w:w="1231" w:type="dxa"/>
            <w:vAlign w:val="center"/>
          </w:tcPr>
          <w:p>
            <w:pPr>
              <w:spacing w:line="360" w:lineRule="auto"/>
              <w:jc w:val="center"/>
              <w:rPr>
                <w:rFonts w:asciiTheme="minorEastAsia" w:hAnsiTheme="minorEastAsia" w:eastAsiaTheme="minorEastAsia"/>
                <w:spacing w:val="20"/>
                <w:szCs w:val="24"/>
              </w:rPr>
            </w:pPr>
          </w:p>
        </w:tc>
        <w:tc>
          <w:tcPr>
            <w:tcW w:w="970" w:type="dxa"/>
            <w:vAlign w:val="center"/>
          </w:tcPr>
          <w:p>
            <w:pPr>
              <w:spacing w:line="360" w:lineRule="auto"/>
              <w:jc w:val="center"/>
              <w:rPr>
                <w:rFonts w:asciiTheme="minorEastAsia" w:hAnsiTheme="minorEastAsia" w:eastAsiaTheme="minorEastAsia"/>
                <w:spacing w:val="20"/>
                <w:szCs w:val="24"/>
              </w:rPr>
            </w:pPr>
          </w:p>
        </w:tc>
        <w:tc>
          <w:tcPr>
            <w:tcW w:w="1484" w:type="dxa"/>
            <w:vAlign w:val="center"/>
          </w:tcPr>
          <w:p>
            <w:pPr>
              <w:spacing w:line="360" w:lineRule="auto"/>
              <w:jc w:val="center"/>
              <w:rPr>
                <w:rFonts w:asciiTheme="minorEastAsia" w:hAnsiTheme="minorEastAsia" w:eastAsiaTheme="minorEastAsia"/>
                <w:spacing w:val="20"/>
                <w:szCs w:val="24"/>
              </w:rPr>
            </w:pPr>
          </w:p>
        </w:tc>
        <w:tc>
          <w:tcPr>
            <w:tcW w:w="2593" w:type="dxa"/>
            <w:vAlign w:val="center"/>
          </w:tcPr>
          <w:p>
            <w:pPr>
              <w:spacing w:line="360" w:lineRule="auto"/>
              <w:jc w:val="center"/>
              <w:rPr>
                <w:rFonts w:asciiTheme="minorEastAsia" w:hAnsiTheme="minorEastAsia" w:eastAsiaTheme="minorEastAsia"/>
                <w:spacing w:val="20"/>
                <w:szCs w:val="24"/>
              </w:rPr>
            </w:pPr>
          </w:p>
        </w:tc>
        <w:tc>
          <w:tcPr>
            <w:tcW w:w="1904" w:type="dxa"/>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57" w:type="dxa"/>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5</w:t>
            </w:r>
          </w:p>
        </w:tc>
        <w:tc>
          <w:tcPr>
            <w:tcW w:w="1231" w:type="dxa"/>
            <w:vAlign w:val="center"/>
          </w:tcPr>
          <w:p>
            <w:pPr>
              <w:spacing w:line="360" w:lineRule="auto"/>
              <w:jc w:val="center"/>
              <w:rPr>
                <w:rFonts w:asciiTheme="minorEastAsia" w:hAnsiTheme="minorEastAsia" w:eastAsiaTheme="minorEastAsia"/>
                <w:spacing w:val="20"/>
                <w:szCs w:val="24"/>
              </w:rPr>
            </w:pPr>
          </w:p>
        </w:tc>
        <w:tc>
          <w:tcPr>
            <w:tcW w:w="970" w:type="dxa"/>
            <w:vAlign w:val="center"/>
          </w:tcPr>
          <w:p>
            <w:pPr>
              <w:spacing w:line="360" w:lineRule="auto"/>
              <w:jc w:val="center"/>
              <w:rPr>
                <w:rFonts w:asciiTheme="minorEastAsia" w:hAnsiTheme="minorEastAsia" w:eastAsiaTheme="minorEastAsia"/>
                <w:spacing w:val="20"/>
                <w:szCs w:val="24"/>
              </w:rPr>
            </w:pPr>
          </w:p>
        </w:tc>
        <w:tc>
          <w:tcPr>
            <w:tcW w:w="1484" w:type="dxa"/>
            <w:vAlign w:val="center"/>
          </w:tcPr>
          <w:p>
            <w:pPr>
              <w:spacing w:line="360" w:lineRule="auto"/>
              <w:jc w:val="center"/>
              <w:rPr>
                <w:rFonts w:asciiTheme="minorEastAsia" w:hAnsiTheme="minorEastAsia" w:eastAsiaTheme="minorEastAsia"/>
                <w:spacing w:val="20"/>
                <w:szCs w:val="24"/>
              </w:rPr>
            </w:pPr>
          </w:p>
        </w:tc>
        <w:tc>
          <w:tcPr>
            <w:tcW w:w="2593" w:type="dxa"/>
            <w:vAlign w:val="center"/>
          </w:tcPr>
          <w:p>
            <w:pPr>
              <w:spacing w:line="360" w:lineRule="auto"/>
              <w:jc w:val="center"/>
              <w:rPr>
                <w:rFonts w:asciiTheme="minorEastAsia" w:hAnsiTheme="minorEastAsia" w:eastAsiaTheme="minorEastAsia"/>
                <w:spacing w:val="20"/>
                <w:szCs w:val="24"/>
              </w:rPr>
            </w:pPr>
          </w:p>
        </w:tc>
        <w:tc>
          <w:tcPr>
            <w:tcW w:w="1904" w:type="dxa"/>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57" w:type="dxa"/>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6</w:t>
            </w:r>
          </w:p>
        </w:tc>
        <w:tc>
          <w:tcPr>
            <w:tcW w:w="1231" w:type="dxa"/>
            <w:vAlign w:val="center"/>
          </w:tcPr>
          <w:p>
            <w:pPr>
              <w:spacing w:line="360" w:lineRule="auto"/>
              <w:jc w:val="center"/>
              <w:rPr>
                <w:rFonts w:asciiTheme="minorEastAsia" w:hAnsiTheme="minorEastAsia" w:eastAsiaTheme="minorEastAsia"/>
                <w:spacing w:val="20"/>
                <w:szCs w:val="24"/>
              </w:rPr>
            </w:pPr>
          </w:p>
        </w:tc>
        <w:tc>
          <w:tcPr>
            <w:tcW w:w="970" w:type="dxa"/>
            <w:vAlign w:val="center"/>
          </w:tcPr>
          <w:p>
            <w:pPr>
              <w:spacing w:line="360" w:lineRule="auto"/>
              <w:jc w:val="center"/>
              <w:rPr>
                <w:rFonts w:asciiTheme="minorEastAsia" w:hAnsiTheme="minorEastAsia" w:eastAsiaTheme="minorEastAsia"/>
                <w:spacing w:val="20"/>
                <w:szCs w:val="24"/>
              </w:rPr>
            </w:pPr>
          </w:p>
        </w:tc>
        <w:tc>
          <w:tcPr>
            <w:tcW w:w="1484" w:type="dxa"/>
            <w:vAlign w:val="center"/>
          </w:tcPr>
          <w:p>
            <w:pPr>
              <w:spacing w:line="360" w:lineRule="auto"/>
              <w:jc w:val="center"/>
              <w:rPr>
                <w:rFonts w:asciiTheme="minorEastAsia" w:hAnsiTheme="minorEastAsia" w:eastAsiaTheme="minorEastAsia"/>
                <w:spacing w:val="20"/>
                <w:szCs w:val="24"/>
              </w:rPr>
            </w:pPr>
          </w:p>
        </w:tc>
        <w:tc>
          <w:tcPr>
            <w:tcW w:w="2593" w:type="dxa"/>
            <w:vAlign w:val="center"/>
          </w:tcPr>
          <w:p>
            <w:pPr>
              <w:spacing w:line="360" w:lineRule="auto"/>
              <w:jc w:val="center"/>
              <w:rPr>
                <w:rFonts w:asciiTheme="minorEastAsia" w:hAnsiTheme="minorEastAsia" w:eastAsiaTheme="minorEastAsia"/>
                <w:spacing w:val="20"/>
                <w:szCs w:val="24"/>
              </w:rPr>
            </w:pPr>
          </w:p>
        </w:tc>
        <w:tc>
          <w:tcPr>
            <w:tcW w:w="1904" w:type="dxa"/>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7</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2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8</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2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9</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2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pacing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r>
              <w:rPr>
                <w:rFonts w:hint="eastAsia" w:asciiTheme="minorEastAsia" w:hAnsiTheme="minorEastAsia" w:eastAsiaTheme="minorEastAsia"/>
                <w:spacing w:val="20"/>
                <w:szCs w:val="24"/>
              </w:rPr>
              <w:t>10</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2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pacing w:val="20"/>
                <w:szCs w:val="24"/>
              </w:rPr>
            </w:pPr>
          </w:p>
        </w:tc>
        <w:tc>
          <w:tcPr>
            <w:tcW w:w="190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spacing w:val="20"/>
                <w:szCs w:val="24"/>
              </w:rPr>
            </w:pPr>
          </w:p>
        </w:tc>
      </w:tr>
    </w:tbl>
    <w:p>
      <w:pPr>
        <w:rPr>
          <w:rFonts w:cs="宋体" w:asciiTheme="minorEastAsia" w:hAnsiTheme="minorEastAsia" w:eastAsiaTheme="minorEastAsia"/>
          <w:b/>
          <w:szCs w:val="24"/>
        </w:rPr>
      </w:pPr>
      <w:r>
        <w:rPr>
          <w:rFonts w:hint="eastAsia" w:cs="宋体" w:asciiTheme="minorEastAsia" w:hAnsiTheme="minorEastAsia" w:eastAsiaTheme="minorEastAsia"/>
          <w:b/>
          <w:bCs/>
          <w:szCs w:val="24"/>
        </w:rPr>
        <w:t>注：</w:t>
      </w:r>
      <w:r>
        <w:rPr>
          <w:rFonts w:hint="eastAsia" w:asciiTheme="minorEastAsia" w:hAnsiTheme="minorEastAsia" w:eastAsiaTheme="minorEastAsia"/>
          <w:b/>
        </w:rPr>
        <w:t>本表后应附</w:t>
      </w:r>
      <w:r>
        <w:rPr>
          <w:rFonts w:hint="eastAsia" w:cs="宋体" w:asciiTheme="minorEastAsia" w:hAnsiTheme="minorEastAsia" w:eastAsiaTheme="minorEastAsia"/>
          <w:b/>
          <w:szCs w:val="24"/>
        </w:rPr>
        <w:t>拟投入本项目人员相关证明资料等复印件。</w:t>
      </w:r>
    </w:p>
    <w:p>
      <w:pPr>
        <w:rPr>
          <w:rFonts w:cs="宋体" w:asciiTheme="minorEastAsia" w:hAnsiTheme="minorEastAsia" w:eastAsiaTheme="minorEastAsia"/>
          <w:szCs w:val="24"/>
        </w:rPr>
      </w:pPr>
      <w:r>
        <w:rPr>
          <w:rFonts w:cs="宋体" w:asciiTheme="minorEastAsia" w:hAnsiTheme="minorEastAsia" w:eastAsiaTheme="minorEastAsia"/>
          <w:szCs w:val="24"/>
        </w:rPr>
        <w:br w:type="page"/>
      </w:r>
    </w:p>
    <w:p>
      <w:pPr>
        <w:pStyle w:val="4"/>
        <w:numPr>
          <w:ilvl w:val="0"/>
          <w:numId w:val="0"/>
        </w:numPr>
        <w:ind w:firstLine="3373" w:firstLineChars="1050"/>
        <w:rPr>
          <w:rFonts w:asciiTheme="minorEastAsia" w:hAnsiTheme="minorEastAsia" w:eastAsiaTheme="minorEastAsia"/>
        </w:rPr>
      </w:pPr>
      <w:r>
        <w:rPr>
          <w:rFonts w:hint="eastAsia" w:asciiTheme="minorEastAsia" w:hAnsiTheme="minorEastAsia" w:eastAsiaTheme="minorEastAsia"/>
        </w:rPr>
        <w:t>七、投标人业绩一览表</w:t>
      </w:r>
    </w:p>
    <w:tbl>
      <w:tblPr>
        <w:tblStyle w:val="2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05"/>
        <w:gridCol w:w="1681"/>
        <w:gridCol w:w="1417"/>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817" w:type="dxa"/>
            <w:vAlign w:val="center"/>
          </w:tcPr>
          <w:p>
            <w:pPr>
              <w:widowControl/>
              <w:jc w:val="center"/>
              <w:rPr>
                <w:rFonts w:cs="Times" w:asciiTheme="minorEastAsia" w:hAnsiTheme="minorEastAsia" w:eastAsiaTheme="minorEastAsia"/>
                <w:b/>
                <w:kern w:val="0"/>
                <w:szCs w:val="24"/>
              </w:rPr>
            </w:pPr>
            <w:r>
              <w:rPr>
                <w:rFonts w:hint="eastAsia" w:cs="Times" w:asciiTheme="minorEastAsia" w:hAnsiTheme="minorEastAsia" w:eastAsiaTheme="minorEastAsia"/>
                <w:b/>
                <w:kern w:val="0"/>
                <w:szCs w:val="24"/>
              </w:rPr>
              <w:t>序号</w:t>
            </w:r>
          </w:p>
        </w:tc>
        <w:tc>
          <w:tcPr>
            <w:tcW w:w="2005" w:type="dxa"/>
            <w:vAlign w:val="center"/>
          </w:tcPr>
          <w:p>
            <w:pPr>
              <w:widowControl/>
              <w:jc w:val="center"/>
              <w:rPr>
                <w:rFonts w:cs="Times" w:asciiTheme="minorEastAsia" w:hAnsiTheme="minorEastAsia" w:eastAsiaTheme="minorEastAsia"/>
                <w:b/>
                <w:kern w:val="0"/>
                <w:szCs w:val="24"/>
              </w:rPr>
            </w:pPr>
            <w:r>
              <w:rPr>
                <w:rFonts w:hint="eastAsia" w:cs="Times" w:asciiTheme="minorEastAsia" w:hAnsiTheme="minorEastAsia" w:eastAsiaTheme="minorEastAsia"/>
                <w:b/>
                <w:kern w:val="0"/>
                <w:szCs w:val="24"/>
              </w:rPr>
              <w:t>项目名称</w:t>
            </w:r>
          </w:p>
        </w:tc>
        <w:tc>
          <w:tcPr>
            <w:tcW w:w="1681" w:type="dxa"/>
            <w:vAlign w:val="center"/>
          </w:tcPr>
          <w:p>
            <w:pPr>
              <w:widowControl/>
              <w:jc w:val="center"/>
              <w:rPr>
                <w:rFonts w:cs="Times" w:asciiTheme="minorEastAsia" w:hAnsiTheme="minorEastAsia" w:eastAsiaTheme="minorEastAsia"/>
                <w:b/>
                <w:kern w:val="0"/>
                <w:szCs w:val="24"/>
              </w:rPr>
            </w:pPr>
            <w:r>
              <w:rPr>
                <w:rFonts w:hint="eastAsia" w:cs="Times" w:asciiTheme="minorEastAsia" w:hAnsiTheme="minorEastAsia" w:eastAsiaTheme="minorEastAsia"/>
                <w:b/>
                <w:kern w:val="0"/>
                <w:szCs w:val="24"/>
              </w:rPr>
              <w:t>项目委托单位</w:t>
            </w:r>
          </w:p>
        </w:tc>
        <w:tc>
          <w:tcPr>
            <w:tcW w:w="1417" w:type="dxa"/>
            <w:vAlign w:val="center"/>
          </w:tcPr>
          <w:p>
            <w:pPr>
              <w:widowControl/>
              <w:jc w:val="center"/>
              <w:rPr>
                <w:rFonts w:cs="Times" w:asciiTheme="minorEastAsia" w:hAnsiTheme="minorEastAsia" w:eastAsiaTheme="minorEastAsia"/>
                <w:b/>
                <w:kern w:val="0"/>
                <w:szCs w:val="24"/>
              </w:rPr>
            </w:pPr>
            <w:r>
              <w:rPr>
                <w:rFonts w:hint="eastAsia" w:cs="Times" w:asciiTheme="minorEastAsia" w:hAnsiTheme="minorEastAsia" w:eastAsiaTheme="minorEastAsia"/>
                <w:b/>
                <w:kern w:val="0"/>
                <w:szCs w:val="24"/>
              </w:rPr>
              <w:t>合同签订时间</w:t>
            </w:r>
          </w:p>
        </w:tc>
        <w:tc>
          <w:tcPr>
            <w:tcW w:w="2126" w:type="dxa"/>
            <w:vAlign w:val="center"/>
          </w:tcPr>
          <w:p>
            <w:pPr>
              <w:widowControl/>
              <w:jc w:val="center"/>
              <w:rPr>
                <w:rFonts w:cs="Times" w:asciiTheme="minorEastAsia" w:hAnsiTheme="minorEastAsia" w:eastAsiaTheme="minorEastAsia"/>
                <w:b/>
                <w:kern w:val="0"/>
                <w:szCs w:val="24"/>
              </w:rPr>
            </w:pPr>
            <w:r>
              <w:rPr>
                <w:rFonts w:hint="eastAsia" w:cs="Times" w:asciiTheme="minorEastAsia" w:hAnsiTheme="minorEastAsia" w:eastAsiaTheme="minorEastAsia"/>
                <w:b/>
                <w:kern w:val="0"/>
                <w:szCs w:val="24"/>
              </w:rPr>
              <w:t>咨询服务类型</w:t>
            </w:r>
          </w:p>
        </w:tc>
        <w:tc>
          <w:tcPr>
            <w:tcW w:w="1701" w:type="dxa"/>
            <w:vAlign w:val="center"/>
          </w:tcPr>
          <w:p>
            <w:pPr>
              <w:widowControl/>
              <w:jc w:val="center"/>
              <w:rPr>
                <w:rFonts w:cs="Times" w:asciiTheme="minorEastAsia" w:hAnsiTheme="minorEastAsia" w:eastAsiaTheme="minorEastAsia"/>
                <w:b/>
                <w:kern w:val="0"/>
                <w:szCs w:val="24"/>
              </w:rPr>
            </w:pPr>
            <w:r>
              <w:rPr>
                <w:rFonts w:hint="eastAsia" w:cs="Times" w:asciiTheme="minorEastAsia" w:hAnsiTheme="minorEastAsia" w:eastAsiaTheme="minorEastAsia"/>
                <w:b/>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17" w:type="dxa"/>
          </w:tcPr>
          <w:p>
            <w:pPr>
              <w:widowControl/>
              <w:jc w:val="left"/>
              <w:rPr>
                <w:rFonts w:cs="Times" w:asciiTheme="minorEastAsia" w:hAnsiTheme="minorEastAsia" w:eastAsiaTheme="minorEastAsia"/>
                <w:b/>
                <w:kern w:val="0"/>
                <w:sz w:val="32"/>
                <w:szCs w:val="20"/>
              </w:rPr>
            </w:pPr>
          </w:p>
        </w:tc>
        <w:tc>
          <w:tcPr>
            <w:tcW w:w="2005" w:type="dxa"/>
          </w:tcPr>
          <w:p>
            <w:pPr>
              <w:widowControl/>
              <w:jc w:val="left"/>
              <w:rPr>
                <w:rFonts w:cs="Times" w:asciiTheme="minorEastAsia" w:hAnsiTheme="minorEastAsia" w:eastAsiaTheme="minorEastAsia"/>
                <w:b/>
                <w:kern w:val="0"/>
                <w:sz w:val="32"/>
                <w:szCs w:val="20"/>
              </w:rPr>
            </w:pPr>
          </w:p>
        </w:tc>
        <w:tc>
          <w:tcPr>
            <w:tcW w:w="1681" w:type="dxa"/>
          </w:tcPr>
          <w:p>
            <w:pPr>
              <w:widowControl/>
              <w:jc w:val="left"/>
              <w:rPr>
                <w:rFonts w:cs="Times" w:asciiTheme="minorEastAsia" w:hAnsiTheme="minorEastAsia" w:eastAsiaTheme="minorEastAsia"/>
                <w:b/>
                <w:kern w:val="0"/>
                <w:sz w:val="32"/>
                <w:szCs w:val="20"/>
              </w:rPr>
            </w:pPr>
          </w:p>
        </w:tc>
        <w:tc>
          <w:tcPr>
            <w:tcW w:w="1417" w:type="dxa"/>
          </w:tcPr>
          <w:p>
            <w:pPr>
              <w:widowControl/>
              <w:jc w:val="left"/>
              <w:rPr>
                <w:rFonts w:cs="Times" w:asciiTheme="minorEastAsia" w:hAnsiTheme="minorEastAsia" w:eastAsiaTheme="minorEastAsia"/>
                <w:b/>
                <w:kern w:val="0"/>
                <w:sz w:val="32"/>
                <w:szCs w:val="20"/>
              </w:rPr>
            </w:pPr>
          </w:p>
        </w:tc>
        <w:tc>
          <w:tcPr>
            <w:tcW w:w="2126" w:type="dxa"/>
          </w:tcPr>
          <w:p>
            <w:pPr>
              <w:widowControl/>
              <w:jc w:val="left"/>
              <w:rPr>
                <w:rFonts w:cs="Times" w:asciiTheme="minorEastAsia" w:hAnsiTheme="minorEastAsia" w:eastAsiaTheme="minorEastAsia"/>
                <w:b/>
                <w:kern w:val="0"/>
                <w:sz w:val="32"/>
                <w:szCs w:val="20"/>
              </w:rPr>
            </w:pPr>
          </w:p>
        </w:tc>
        <w:tc>
          <w:tcPr>
            <w:tcW w:w="1701" w:type="dxa"/>
          </w:tcPr>
          <w:p>
            <w:pPr>
              <w:widowControl/>
              <w:jc w:val="left"/>
              <w:rPr>
                <w:rFonts w:cs="Times" w:asciiTheme="minorEastAsia" w:hAnsiTheme="minorEastAsia" w:eastAsiaTheme="minorEastAsia"/>
                <w:b/>
                <w:kern w:val="0"/>
                <w:sz w:val="32"/>
                <w:szCs w:val="20"/>
              </w:rPr>
            </w:pPr>
          </w:p>
        </w:tc>
      </w:tr>
    </w:tbl>
    <w:p>
      <w:pPr>
        <w:widowControl/>
        <w:jc w:val="left"/>
        <w:rPr>
          <w:rFonts w:asciiTheme="minorEastAsia" w:hAnsiTheme="minorEastAsia" w:eastAsiaTheme="minorEastAsia"/>
          <w:b/>
          <w:kern w:val="0"/>
          <w:sz w:val="32"/>
          <w:szCs w:val="20"/>
        </w:rPr>
      </w:pPr>
    </w:p>
    <w:p>
      <w:pPr>
        <w:jc w:val="left"/>
        <w:rPr>
          <w:rFonts w:asciiTheme="minorEastAsia" w:hAnsiTheme="minorEastAsia" w:eastAsiaTheme="minorEastAsia"/>
          <w:b/>
        </w:rPr>
      </w:pPr>
      <w:r>
        <w:rPr>
          <w:rFonts w:hint="eastAsia" w:asciiTheme="minorEastAsia" w:hAnsiTheme="minorEastAsia" w:eastAsiaTheme="minorEastAsia"/>
          <w:b/>
        </w:rPr>
        <w:t>注：本表后应附类似项目的合同扫描件或复印件。</w:t>
      </w:r>
    </w:p>
    <w:p>
      <w:pPr>
        <w:widowControl/>
        <w:jc w:val="left"/>
        <w:rPr>
          <w:rFonts w:asciiTheme="minorEastAsia" w:hAnsiTheme="minorEastAsia" w:eastAsiaTheme="minorEastAsia"/>
          <w:b/>
          <w:kern w:val="0"/>
          <w:sz w:val="32"/>
          <w:szCs w:val="20"/>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rPr>
          <w:rFonts w:cs="宋体" w:asciiTheme="minorEastAsia" w:hAnsiTheme="minorEastAsia" w:eastAsiaTheme="minorEastAsia"/>
          <w:szCs w:val="24"/>
        </w:rPr>
      </w:pPr>
    </w:p>
    <w:p>
      <w:pPr>
        <w:widowControl/>
        <w:jc w:val="left"/>
        <w:rPr>
          <w:rFonts w:cs="宋体" w:asciiTheme="minorEastAsia" w:hAnsiTheme="minorEastAsia" w:eastAsiaTheme="minorEastAsia"/>
          <w:szCs w:val="24"/>
        </w:rPr>
      </w:pPr>
      <w:r>
        <w:rPr>
          <w:rFonts w:cs="宋体" w:asciiTheme="minorEastAsia" w:hAnsiTheme="minorEastAsia" w:eastAsiaTheme="minorEastAsia"/>
          <w:szCs w:val="24"/>
        </w:rPr>
        <w:br w:type="page"/>
      </w:r>
    </w:p>
    <w:p>
      <w:pPr>
        <w:pStyle w:val="4"/>
        <w:numPr>
          <w:ilvl w:val="0"/>
          <w:numId w:val="0"/>
        </w:numPr>
        <w:ind w:firstLine="3373" w:firstLineChars="1050"/>
        <w:rPr>
          <w:rFonts w:asciiTheme="minorEastAsia" w:hAnsiTheme="minorEastAsia" w:eastAsiaTheme="minorEastAsia"/>
        </w:rPr>
      </w:pPr>
      <w:r>
        <w:rPr>
          <w:rFonts w:hint="eastAsia" w:asciiTheme="minorEastAsia" w:hAnsiTheme="minorEastAsia" w:eastAsiaTheme="minorEastAsia"/>
        </w:rPr>
        <w:t>八、服务方案</w:t>
      </w:r>
    </w:p>
    <w:p>
      <w:pPr>
        <w:spacing w:line="360" w:lineRule="auto"/>
        <w:rPr>
          <w:rFonts w:asciiTheme="minorEastAsia" w:hAnsiTheme="minorEastAsia" w:eastAsiaTheme="minorEastAsia"/>
          <w:szCs w:val="24"/>
        </w:rPr>
      </w:pPr>
    </w:p>
    <w:p>
      <w:pPr>
        <w:spacing w:line="360" w:lineRule="auto"/>
        <w:rPr>
          <w:rFonts w:asciiTheme="minorEastAsia" w:hAnsiTheme="minorEastAsia" w:eastAsiaTheme="minorEastAsia"/>
          <w:szCs w:val="24"/>
        </w:rPr>
      </w:pPr>
    </w:p>
    <w:p>
      <w:pPr>
        <w:spacing w:line="360" w:lineRule="auto"/>
        <w:rPr>
          <w:rFonts w:asciiTheme="minorEastAsia" w:hAnsiTheme="minorEastAsia" w:eastAsiaTheme="minorEastAsia"/>
          <w:szCs w:val="24"/>
        </w:rPr>
      </w:pPr>
    </w:p>
    <w:p>
      <w:pPr>
        <w:spacing w:line="360" w:lineRule="auto"/>
        <w:rPr>
          <w:rFonts w:asciiTheme="minorEastAsia" w:hAnsiTheme="minorEastAsia" w:eastAsiaTheme="minorEastAsia"/>
          <w:szCs w:val="24"/>
        </w:rPr>
      </w:pPr>
    </w:p>
    <w:p>
      <w:pPr>
        <w:spacing w:line="360" w:lineRule="auto"/>
        <w:rPr>
          <w:rFonts w:cs="宋体" w:asciiTheme="minorEastAsia" w:hAnsiTheme="minorEastAsia" w:eastAsiaTheme="minorEastAsia"/>
          <w:szCs w:val="24"/>
        </w:rPr>
      </w:pPr>
    </w:p>
    <w:p>
      <w:pPr>
        <w:spacing w:line="360" w:lineRule="auto"/>
        <w:jc w:val="center"/>
        <w:rPr>
          <w:rFonts w:cs="宋体" w:asciiTheme="minorEastAsia" w:hAnsiTheme="minorEastAsia" w:eastAsiaTheme="minorEastAsia"/>
          <w:b/>
          <w:sz w:val="28"/>
          <w:szCs w:val="28"/>
        </w:rPr>
      </w:pPr>
    </w:p>
    <w:p>
      <w:pPr>
        <w:pStyle w:val="48"/>
        <w:ind w:left="4080"/>
        <w:rPr>
          <w:rFonts w:asciiTheme="minorEastAsia" w:hAnsiTheme="minorEastAsia" w:eastAsiaTheme="minorEastAsia"/>
        </w:rPr>
      </w:pPr>
    </w:p>
    <w:p>
      <w:pPr>
        <w:pStyle w:val="48"/>
        <w:ind w:left="4080"/>
        <w:rPr>
          <w:rFonts w:asciiTheme="minorEastAsia" w:hAnsiTheme="minorEastAsia" w:eastAsiaTheme="minorEastAsia"/>
        </w:rPr>
      </w:pPr>
    </w:p>
    <w:p>
      <w:pPr>
        <w:pStyle w:val="48"/>
        <w:ind w:left="4080"/>
        <w:rPr>
          <w:rFonts w:asciiTheme="minorEastAsia" w:hAnsiTheme="minorEastAsia" w:eastAsiaTheme="minorEastAsia"/>
        </w:rPr>
      </w:pPr>
    </w:p>
    <w:p>
      <w:pPr>
        <w:pStyle w:val="48"/>
        <w:ind w:left="4080"/>
        <w:rPr>
          <w:rFonts w:asciiTheme="minorEastAsia" w:hAnsiTheme="minorEastAsia" w:eastAsiaTheme="minorEastAsia"/>
        </w:rPr>
      </w:pPr>
    </w:p>
    <w:p>
      <w:pPr>
        <w:pStyle w:val="4"/>
        <w:numPr>
          <w:ilvl w:val="0"/>
          <w:numId w:val="0"/>
        </w:numPr>
        <w:ind w:left="720" w:hanging="720" w:hangingChars="224"/>
        <w:jc w:val="center"/>
        <w:rPr>
          <w:rFonts w:asciiTheme="minorEastAsia" w:hAnsiTheme="minorEastAsia" w:eastAsiaTheme="minorEastAsia"/>
        </w:rPr>
      </w:pPr>
      <w:r>
        <w:rPr>
          <w:rFonts w:hint="eastAsia" w:asciiTheme="minorEastAsia" w:hAnsiTheme="minorEastAsia" w:eastAsiaTheme="minorEastAsia"/>
        </w:rPr>
        <w:t>九、投标人认为对其投标有利的其他资料</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sz w:val="30"/>
          <w:szCs w:val="30"/>
        </w:rPr>
        <w:sectPr>
          <w:type w:val="continuous"/>
          <w:pgSz w:w="11907" w:h="16839"/>
          <w:pgMar w:top="1440" w:right="1080" w:bottom="1440" w:left="1080" w:header="720" w:footer="720" w:gutter="0"/>
          <w:cols w:space="720" w:num="1"/>
          <w:docGrid w:linePitch="286" w:charSpace="0"/>
        </w:sectPr>
      </w:pPr>
    </w:p>
    <w:p>
      <w:pPr>
        <w:spacing w:line="480" w:lineRule="auto"/>
        <w:ind w:firstLine="602" w:firstLineChars="200"/>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第六部分  采购合同</w:t>
      </w:r>
      <w:r>
        <w:rPr>
          <w:rFonts w:hint="eastAsia" w:asciiTheme="minorEastAsia" w:hAnsiTheme="minorEastAsia" w:eastAsiaTheme="minorEastAsia"/>
          <w:b/>
          <w:sz w:val="30"/>
          <w:szCs w:val="30"/>
          <w:lang w:val="zh-CN"/>
        </w:rPr>
        <w:t>（格式）</w:t>
      </w:r>
    </w:p>
    <w:p>
      <w:pPr>
        <w:ind w:left="477" w:hanging="477"/>
        <w:jc w:val="center"/>
        <w:rPr>
          <w:rFonts w:asciiTheme="minorEastAsia" w:hAnsiTheme="minorEastAsia" w:eastAsiaTheme="minorEastAsia"/>
        </w:rPr>
      </w:pPr>
    </w:p>
    <w:p>
      <w:pPr>
        <w:ind w:left="477" w:hanging="477"/>
        <w:jc w:val="center"/>
        <w:rPr>
          <w:rFonts w:asciiTheme="minorEastAsia" w:hAnsiTheme="minorEastAsia" w:eastAsiaTheme="minorEastAsia"/>
          <w:sz w:val="32"/>
        </w:rPr>
      </w:pPr>
      <w:r>
        <w:rPr>
          <w:rFonts w:hint="eastAsia" w:asciiTheme="minorEastAsia" w:hAnsiTheme="minorEastAsia" w:eastAsiaTheme="minorEastAsia"/>
          <w:sz w:val="32"/>
        </w:rPr>
        <w:t>（由双方</w:t>
      </w:r>
      <w:r>
        <w:rPr>
          <w:rFonts w:asciiTheme="minorEastAsia" w:hAnsiTheme="minorEastAsia" w:eastAsiaTheme="minorEastAsia"/>
          <w:sz w:val="32"/>
        </w:rPr>
        <w:t>协商确定</w:t>
      </w:r>
      <w:r>
        <w:rPr>
          <w:rFonts w:hint="eastAsia" w:asciiTheme="minorEastAsia" w:hAnsiTheme="minorEastAsia" w:eastAsiaTheme="minorEastAsia"/>
          <w:sz w:val="32"/>
        </w:rPr>
        <w:t>）</w:t>
      </w:r>
    </w:p>
    <w:p>
      <w:pPr>
        <w:wordWrap w:val="0"/>
        <w:snapToGrid w:val="0"/>
        <w:ind w:right="53" w:rightChars="22"/>
        <w:jc w:val="right"/>
        <w:rPr>
          <w:rFonts w:asciiTheme="minorEastAsia" w:hAnsiTheme="minorEastAsia" w:eastAsiaTheme="minorEastAsia"/>
          <w:spacing w:val="30"/>
        </w:rPr>
      </w:pPr>
      <w:r>
        <w:rPr>
          <w:rFonts w:hint="eastAsia" w:asciiTheme="minorEastAsia" w:hAnsiTheme="minorEastAsia" w:eastAsiaTheme="minorEastAsia"/>
          <w:spacing w:val="30"/>
        </w:rPr>
        <w:t>合同编号：【         】</w:t>
      </w:r>
    </w:p>
    <w:p>
      <w:pPr>
        <w:spacing w:beforeLines="50" w:afterLines="100" w:line="360" w:lineRule="auto"/>
        <w:jc w:val="center"/>
        <w:rPr>
          <w:rFonts w:cs="宋体" w:asciiTheme="minorEastAsia" w:hAnsiTheme="minorEastAsia" w:eastAsiaTheme="minorEastAsia"/>
          <w:b/>
          <w:bCs/>
          <w:sz w:val="48"/>
          <w:szCs w:val="48"/>
        </w:rPr>
      </w:pPr>
    </w:p>
    <w:p>
      <w:pPr>
        <w:adjustRightInd w:val="0"/>
        <w:snapToGrid w:val="0"/>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新疆交通建设集团股份有限公司年度顾问</w:t>
      </w:r>
    </w:p>
    <w:p>
      <w:pPr>
        <w:tabs>
          <w:tab w:val="center" w:pos="4417"/>
          <w:tab w:val="right" w:pos="8835"/>
        </w:tabs>
        <w:spacing w:beforeLines="50" w:afterLines="100" w:line="360" w:lineRule="auto"/>
        <w:jc w:val="center"/>
        <w:rPr>
          <w:rFonts w:cs="宋体" w:asciiTheme="minorEastAsia" w:hAnsiTheme="minorEastAsia" w:eastAsiaTheme="minorEastAsia"/>
          <w:b/>
          <w:bCs/>
          <w:sz w:val="48"/>
          <w:szCs w:val="52"/>
        </w:rPr>
      </w:pPr>
      <w:r>
        <w:rPr>
          <w:rFonts w:hint="eastAsia" w:cs="宋体" w:asciiTheme="minorEastAsia" w:hAnsiTheme="minorEastAsia" w:eastAsiaTheme="minorEastAsia"/>
          <w:b/>
          <w:bCs/>
          <w:sz w:val="48"/>
          <w:szCs w:val="52"/>
        </w:rPr>
        <w:t>咨询服务合同</w:t>
      </w:r>
    </w:p>
    <w:p>
      <w:pPr>
        <w:tabs>
          <w:tab w:val="left" w:pos="5928"/>
        </w:tabs>
        <w:spacing w:beforeLines="50" w:afterLines="100" w:line="360" w:lineRule="auto"/>
        <w:jc w:val="left"/>
        <w:rPr>
          <w:rFonts w:cs="宋体" w:asciiTheme="minorEastAsia" w:hAnsiTheme="minorEastAsia" w:eastAsiaTheme="minorEastAsia"/>
          <w:b/>
          <w:bCs/>
          <w:sz w:val="52"/>
          <w:szCs w:val="52"/>
        </w:rPr>
      </w:pPr>
      <w:r>
        <w:rPr>
          <w:rFonts w:cs="宋体" w:asciiTheme="minorEastAsia" w:hAnsiTheme="minorEastAsia" w:eastAsiaTheme="minorEastAsia"/>
          <w:b/>
          <w:bCs/>
          <w:sz w:val="52"/>
          <w:szCs w:val="52"/>
        </w:rPr>
        <w:tab/>
      </w:r>
    </w:p>
    <w:p>
      <w:pPr>
        <w:spacing w:beforeLines="50" w:afterLines="100" w:line="360" w:lineRule="auto"/>
        <w:jc w:val="center"/>
        <w:rPr>
          <w:rFonts w:cs="宋体" w:asciiTheme="minorEastAsia" w:hAnsiTheme="minorEastAsia" w:eastAsiaTheme="minorEastAsia"/>
          <w:b/>
          <w:bCs/>
          <w:sz w:val="48"/>
          <w:szCs w:val="48"/>
        </w:rPr>
      </w:pPr>
    </w:p>
    <w:p>
      <w:pPr>
        <w:spacing w:beforeLines="50" w:afterLines="100" w:line="360" w:lineRule="auto"/>
        <w:jc w:val="center"/>
        <w:rPr>
          <w:rFonts w:cs="宋体" w:asciiTheme="minorEastAsia" w:hAnsiTheme="minorEastAsia" w:eastAsiaTheme="minorEastAsia"/>
          <w:b/>
          <w:bCs/>
          <w:sz w:val="48"/>
          <w:szCs w:val="48"/>
        </w:rPr>
      </w:pPr>
    </w:p>
    <w:p>
      <w:pPr>
        <w:pStyle w:val="48"/>
        <w:spacing w:line="360" w:lineRule="auto"/>
        <w:ind w:left="0" w:leftChars="0" w:firstLine="1687" w:firstLineChars="600"/>
        <w:rPr>
          <w:rFonts w:asciiTheme="minorEastAsia" w:hAnsiTheme="minorEastAsia" w:eastAsiaTheme="minorEastAsia"/>
          <w:b/>
          <w:sz w:val="28"/>
          <w:szCs w:val="28"/>
        </w:rPr>
      </w:pPr>
      <w:r>
        <w:rPr>
          <w:rFonts w:hint="eastAsia" w:asciiTheme="minorEastAsia" w:hAnsiTheme="minorEastAsia" w:eastAsiaTheme="minorEastAsia"/>
          <w:b/>
          <w:sz w:val="28"/>
          <w:szCs w:val="28"/>
        </w:rPr>
        <w:t>甲方：新疆交通建设集团股份有限公司</w:t>
      </w:r>
    </w:p>
    <w:p>
      <w:pPr>
        <w:pStyle w:val="48"/>
        <w:spacing w:line="360" w:lineRule="auto"/>
        <w:ind w:left="0" w:leftChars="0" w:firstLine="1687" w:firstLineChars="6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乙方：    </w:t>
      </w:r>
    </w:p>
    <w:p>
      <w:pPr>
        <w:pStyle w:val="48"/>
        <w:spacing w:line="360" w:lineRule="auto"/>
        <w:ind w:left="0" w:leftChars="0" w:firstLine="1687" w:firstLineChars="600"/>
        <w:rPr>
          <w:rFonts w:asciiTheme="minorEastAsia" w:hAnsiTheme="minorEastAsia" w:eastAsiaTheme="minorEastAsia"/>
          <w:b/>
          <w:sz w:val="28"/>
          <w:szCs w:val="28"/>
        </w:rPr>
      </w:pPr>
    </w:p>
    <w:p>
      <w:pPr>
        <w:spacing w:beforeLines="50" w:afterLines="100" w:line="360" w:lineRule="auto"/>
        <w:ind w:firstLine="1700" w:firstLineChars="500"/>
        <w:rPr>
          <w:rFonts w:asciiTheme="minorEastAsia" w:hAnsiTheme="minorEastAsia" w:eastAsiaTheme="minorEastAsia"/>
          <w:spacing w:val="30"/>
          <w:sz w:val="28"/>
          <w:szCs w:val="28"/>
        </w:rPr>
      </w:pPr>
    </w:p>
    <w:p>
      <w:pPr>
        <w:spacing w:beforeLines="50" w:afterLines="100" w:line="360" w:lineRule="auto"/>
        <w:ind w:firstLine="1700" w:firstLineChars="500"/>
        <w:rPr>
          <w:rFonts w:asciiTheme="minorEastAsia" w:hAnsiTheme="minorEastAsia" w:eastAsiaTheme="minorEastAsia"/>
          <w:b/>
          <w:color w:val="000000"/>
          <w:sz w:val="44"/>
          <w:szCs w:val="44"/>
        </w:rPr>
      </w:pPr>
      <w:r>
        <w:rPr>
          <w:rFonts w:hint="eastAsia" w:asciiTheme="minorEastAsia" w:hAnsiTheme="minorEastAsia" w:eastAsiaTheme="minorEastAsia"/>
          <w:spacing w:val="30"/>
          <w:sz w:val="28"/>
          <w:szCs w:val="28"/>
        </w:rPr>
        <w:t>日期：二〇二〇年  月</w:t>
      </w:r>
      <w:r>
        <w:rPr>
          <w:rFonts w:asciiTheme="minorEastAsia" w:hAnsiTheme="minorEastAsia" w:eastAsiaTheme="minorEastAsia"/>
          <w:b/>
          <w:color w:val="000000"/>
          <w:sz w:val="44"/>
          <w:szCs w:val="44"/>
        </w:rPr>
        <w:br w:type="page"/>
      </w:r>
    </w:p>
    <w:p>
      <w:pPr>
        <w:adjustRightInd w:val="0"/>
        <w:snapToGrid w:val="0"/>
        <w:spacing w:line="36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新疆交通建设集团股份有限公司年度顾问</w:t>
      </w:r>
    </w:p>
    <w:p>
      <w:pPr>
        <w:tabs>
          <w:tab w:val="center" w:pos="4417"/>
          <w:tab w:val="right" w:pos="8835"/>
        </w:tabs>
        <w:spacing w:beforeLines="50" w:afterLines="100" w:line="360" w:lineRule="auto"/>
        <w:jc w:val="center"/>
        <w:rPr>
          <w:rFonts w:cs="宋体" w:asciiTheme="minorEastAsia" w:hAnsiTheme="minorEastAsia" w:eastAsiaTheme="minorEastAsia"/>
          <w:b/>
          <w:bCs/>
          <w:sz w:val="48"/>
          <w:szCs w:val="52"/>
        </w:rPr>
      </w:pPr>
      <w:r>
        <w:rPr>
          <w:rFonts w:hint="eastAsia" w:cs="宋体" w:asciiTheme="minorEastAsia" w:hAnsiTheme="minorEastAsia" w:eastAsiaTheme="minorEastAsia"/>
          <w:b/>
          <w:bCs/>
          <w:sz w:val="48"/>
          <w:szCs w:val="52"/>
        </w:rPr>
        <w:t>咨询服务合同</w:t>
      </w:r>
    </w:p>
    <w:p/>
    <w:p>
      <w:pPr>
        <w:spacing w:line="360" w:lineRule="auto"/>
      </w:pPr>
      <w:r>
        <w:rPr>
          <w:rFonts w:hint="eastAsia"/>
        </w:rPr>
        <w:t>甲方：新疆交通建设集团股份有限公司</w:t>
      </w:r>
    </w:p>
    <w:p>
      <w:pPr>
        <w:spacing w:line="360" w:lineRule="auto"/>
      </w:pPr>
      <w:r>
        <w:rPr>
          <w:rFonts w:hint="eastAsia"/>
        </w:rPr>
        <w:t xml:space="preserve">乙方：    </w:t>
      </w:r>
    </w:p>
    <w:p>
      <w:pPr>
        <w:spacing w:line="360" w:lineRule="auto"/>
      </w:pPr>
    </w:p>
    <w:p>
      <w:pPr>
        <w:spacing w:line="360" w:lineRule="auto"/>
      </w:pPr>
      <w:r>
        <w:rPr>
          <w:rFonts w:hint="eastAsia"/>
        </w:rPr>
        <w:t>根据《中华人民共和国民法典》及其他有关法律、法规之规定，在平等、自愿、协商一致的基础上，甲乙双方现就新疆交通建设集团股份有限公司年度顾问咨询服务项目（下称：本项目）事宜，达成如下合同条款：</w:t>
      </w:r>
    </w:p>
    <w:p>
      <w:pPr>
        <w:spacing w:line="360" w:lineRule="auto"/>
        <w:ind w:firstLine="482" w:firstLineChars="200"/>
        <w:rPr>
          <w:b/>
        </w:rPr>
      </w:pPr>
      <w:r>
        <w:rPr>
          <w:rFonts w:hint="eastAsia"/>
          <w:b/>
        </w:rPr>
        <w:t>第一章  总则</w:t>
      </w:r>
    </w:p>
    <w:p>
      <w:pPr>
        <w:spacing w:line="360" w:lineRule="auto"/>
        <w:ind w:firstLine="482" w:firstLineChars="200"/>
        <w:rPr>
          <w:b/>
        </w:rPr>
      </w:pPr>
      <w:r>
        <w:rPr>
          <w:rFonts w:hint="eastAsia"/>
          <w:b/>
        </w:rPr>
        <w:t>第一条  项目实施目的</w:t>
      </w:r>
    </w:p>
    <w:p>
      <w:pPr>
        <w:spacing w:line="360" w:lineRule="auto"/>
        <w:ind w:firstLine="480" w:firstLineChars="200"/>
      </w:pPr>
      <w:r>
        <w:rPr>
          <w:rFonts w:hint="eastAsia"/>
        </w:rPr>
        <w:t>为了新疆交通建设集团股份有限公司年度顾问咨询服务项目顺利开展，甲方特聘请乙方作为本项目的咨询服务机构，为本项目提供专业支持。</w:t>
      </w:r>
    </w:p>
    <w:p>
      <w:pPr>
        <w:spacing w:line="360" w:lineRule="auto"/>
        <w:ind w:firstLine="482" w:firstLineChars="200"/>
        <w:rPr>
          <w:b/>
        </w:rPr>
      </w:pPr>
      <w:r>
        <w:rPr>
          <w:rFonts w:hint="eastAsia"/>
          <w:b/>
        </w:rPr>
        <w:t>第二条  乙方的资格</w:t>
      </w:r>
    </w:p>
    <w:p>
      <w:pPr>
        <w:spacing w:line="360" w:lineRule="auto"/>
        <w:ind w:firstLine="480" w:firstLineChars="200"/>
      </w:pPr>
      <w:r>
        <w:rPr>
          <w:rFonts w:hint="eastAsia"/>
        </w:rPr>
        <w:t>乙方专注于城市发展建设领域的投融资管理与咨询服务，深刻理解本项目的服务需求，具有接受甲方委托、为本项目提供专业服务的经验和能力。</w:t>
      </w:r>
    </w:p>
    <w:p>
      <w:pPr>
        <w:spacing w:line="360" w:lineRule="auto"/>
        <w:ind w:firstLine="482" w:firstLineChars="200"/>
        <w:rPr>
          <w:b/>
        </w:rPr>
      </w:pPr>
      <w:r>
        <w:rPr>
          <w:rFonts w:hint="eastAsia"/>
          <w:b/>
        </w:rPr>
        <w:t>第二章  咨询服务内容和工作安排</w:t>
      </w:r>
    </w:p>
    <w:p>
      <w:pPr>
        <w:spacing w:line="360" w:lineRule="auto"/>
        <w:ind w:firstLine="482" w:firstLineChars="200"/>
        <w:rPr>
          <w:b/>
        </w:rPr>
      </w:pPr>
      <w:r>
        <w:rPr>
          <w:rFonts w:hint="eastAsia"/>
          <w:b/>
        </w:rPr>
        <w:t>第三条  咨询服务内容</w:t>
      </w:r>
    </w:p>
    <w:p>
      <w:pPr>
        <w:spacing w:line="360" w:lineRule="auto"/>
        <w:ind w:firstLine="480" w:firstLineChars="200"/>
      </w:pPr>
      <w:r>
        <w:rPr>
          <w:rFonts w:hint="eastAsia"/>
        </w:rPr>
        <w:t>本次咨询工作内容具体如下：</w:t>
      </w:r>
    </w:p>
    <w:p>
      <w:pPr>
        <w:spacing w:line="360" w:lineRule="auto"/>
        <w:ind w:firstLine="480" w:firstLineChars="200"/>
      </w:pPr>
      <w:r>
        <w:rPr>
          <w:rFonts w:hint="eastAsia"/>
        </w:rPr>
        <w:t>（一）基础服务工作</w:t>
      </w:r>
    </w:p>
    <w:p>
      <w:pPr>
        <w:spacing w:line="360" w:lineRule="auto"/>
        <w:ind w:firstLine="480" w:firstLineChars="200"/>
      </w:pPr>
      <w:r>
        <w:rPr>
          <w:rFonts w:hint="eastAsia"/>
        </w:rPr>
        <w:t>1、日常咨询服务工作</w:t>
      </w:r>
    </w:p>
    <w:p>
      <w:pPr>
        <w:spacing w:line="360" w:lineRule="auto"/>
        <w:ind w:firstLine="480" w:firstLineChars="200"/>
      </w:pPr>
      <w:r>
        <w:rPr>
          <w:rFonts w:hint="eastAsia"/>
        </w:rPr>
        <w:t>1）政策咨询和解读、法律法规咨询（包括但不限于PPP、F+EPC、ABO、片区开发、产城融合、“煤改电”、通用航空、土地综合整治等领域）。</w:t>
      </w:r>
    </w:p>
    <w:p>
      <w:pPr>
        <w:spacing w:line="360" w:lineRule="auto"/>
        <w:ind w:firstLine="480" w:firstLineChars="200"/>
      </w:pPr>
      <w:r>
        <w:rPr>
          <w:rFonts w:hint="eastAsia"/>
        </w:rPr>
        <w:t>2）重点关注区域及市场环境分析。根据项目实际情况，对项目所在地城市投资环境、宏观经济数据、产业结构、土地市场、房地产市场等进行分析。</w:t>
      </w:r>
    </w:p>
    <w:p>
      <w:pPr>
        <w:spacing w:line="360" w:lineRule="auto"/>
        <w:ind w:firstLine="480" w:firstLineChars="200"/>
      </w:pPr>
      <w:r>
        <w:rPr>
          <w:rFonts w:hint="eastAsia"/>
        </w:rPr>
        <w:t>3）协助甲方进行项目考察和沟通汇报，编写汇报材料。数量不超过10个。</w:t>
      </w:r>
    </w:p>
    <w:p>
      <w:pPr>
        <w:spacing w:line="360" w:lineRule="auto"/>
        <w:ind w:firstLine="480" w:firstLineChars="200"/>
      </w:pPr>
      <w:r>
        <w:rPr>
          <w:rFonts w:hint="eastAsia"/>
        </w:rPr>
        <w:t>4）项目合作服务。根据甲方自身参与的投资服务项目的具体需求，进行项目推介工作。</w:t>
      </w:r>
    </w:p>
    <w:p>
      <w:pPr>
        <w:spacing w:line="360" w:lineRule="auto"/>
        <w:ind w:firstLine="480" w:firstLineChars="200"/>
      </w:pPr>
      <w:r>
        <w:rPr>
          <w:rFonts w:hint="eastAsia"/>
        </w:rPr>
        <w:t>5）融资服务工作。针对甲方的融资工作提供优化建议和远程协作。</w:t>
      </w:r>
    </w:p>
    <w:p>
      <w:pPr>
        <w:spacing w:line="360" w:lineRule="auto"/>
        <w:ind w:firstLine="480" w:firstLineChars="200"/>
      </w:pPr>
      <w:r>
        <w:rPr>
          <w:rFonts w:hint="eastAsia"/>
        </w:rPr>
        <w:t>6）根据甲方业务布局定制化培训内容，满足业务发展需求。</w:t>
      </w:r>
    </w:p>
    <w:p>
      <w:pPr>
        <w:spacing w:line="360" w:lineRule="auto"/>
        <w:ind w:firstLine="480" w:firstLineChars="200"/>
      </w:pPr>
      <w:r>
        <w:rPr>
          <w:rFonts w:hint="eastAsia"/>
        </w:rPr>
        <w:t>7）提供合同签订期间乙方开展的培训课程以及培训资料、网课资源。</w:t>
      </w:r>
    </w:p>
    <w:p>
      <w:pPr>
        <w:spacing w:line="360" w:lineRule="auto"/>
        <w:ind w:firstLine="480" w:firstLineChars="200"/>
      </w:pPr>
      <w:r>
        <w:rPr>
          <w:rFonts w:hint="eastAsia"/>
        </w:rPr>
        <w:t>2、项目合作模式初步建议</w:t>
      </w:r>
    </w:p>
    <w:p>
      <w:pPr>
        <w:spacing w:line="360" w:lineRule="auto"/>
        <w:ind w:firstLine="480" w:firstLineChars="200"/>
      </w:pPr>
      <w:r>
        <w:rPr>
          <w:rFonts w:hint="eastAsia"/>
        </w:rPr>
        <w:t>针对甲方日常跟踪项目，结合政府方提供的项目方案及其他项目资料，提出合作模式与实施路径的合理建议，出具书面材料。</w:t>
      </w:r>
    </w:p>
    <w:p>
      <w:pPr>
        <w:spacing w:line="360" w:lineRule="auto"/>
        <w:ind w:firstLine="480" w:firstLineChars="200"/>
      </w:pPr>
      <w:r>
        <w:rPr>
          <w:rFonts w:hint="eastAsia"/>
        </w:rPr>
        <w:t>3、项目投资可行性初步分析</w:t>
      </w:r>
    </w:p>
    <w:p>
      <w:pPr>
        <w:spacing w:line="360" w:lineRule="auto"/>
        <w:ind w:firstLine="480" w:firstLineChars="200"/>
      </w:pPr>
      <w:r>
        <w:rPr>
          <w:rFonts w:hint="eastAsia"/>
        </w:rPr>
        <w:t>针对项目提供的相关资料，进行财务评估和初步的投资可行性分析，包括编制财务模型、测算财务指标、对项目可行性，风险因素进行初步分析等。项目数量不超过18个。</w:t>
      </w:r>
    </w:p>
    <w:p>
      <w:pPr>
        <w:spacing w:line="360" w:lineRule="auto"/>
        <w:ind w:firstLine="480" w:firstLineChars="200"/>
      </w:pPr>
      <w:r>
        <w:rPr>
          <w:rFonts w:hint="eastAsia"/>
        </w:rPr>
        <w:t>（二）重点项目投顾服务工作</w:t>
      </w:r>
    </w:p>
    <w:p>
      <w:pPr>
        <w:spacing w:line="360" w:lineRule="auto"/>
        <w:ind w:firstLine="480" w:firstLineChars="200"/>
      </w:pPr>
      <w:r>
        <w:rPr>
          <w:rFonts w:hint="eastAsia"/>
        </w:rPr>
        <w:t>针对甲方重点跟踪的投资项目，同时跟踪项目原则上不超过3个，乙方提供：</w:t>
      </w:r>
    </w:p>
    <w:p>
      <w:pPr>
        <w:spacing w:line="360" w:lineRule="auto"/>
        <w:ind w:firstLine="480" w:firstLineChars="200"/>
      </w:pPr>
      <w:r>
        <w:rPr>
          <w:rFonts w:hint="eastAsia"/>
        </w:rPr>
        <w:t>1、项目尽调评估</w:t>
      </w:r>
    </w:p>
    <w:p>
      <w:pPr>
        <w:spacing w:line="360" w:lineRule="auto"/>
        <w:ind w:firstLine="480" w:firstLineChars="200"/>
      </w:pPr>
      <w:r>
        <w:rPr>
          <w:rFonts w:hint="eastAsia"/>
        </w:rPr>
        <w:t>开展项目尽职调查工作，充分理解项目需求和项目客观情况，以掌握项目的基本信息。主要包括：</w:t>
      </w:r>
    </w:p>
    <w:p>
      <w:pPr>
        <w:spacing w:line="360" w:lineRule="auto"/>
        <w:ind w:firstLine="480" w:firstLineChars="200"/>
      </w:pPr>
      <w:r>
        <w:rPr>
          <w:rFonts w:hint="eastAsia"/>
        </w:rPr>
        <w:t>1）法规政策体系：主要包括土地政策、产业发展政策、建设管理政策、本地财政政策和规划政策等采集分析工作；</w:t>
      </w:r>
    </w:p>
    <w:p>
      <w:pPr>
        <w:spacing w:line="360" w:lineRule="auto"/>
        <w:ind w:firstLine="480" w:firstLineChars="200"/>
      </w:pPr>
      <w:r>
        <w:rPr>
          <w:rFonts w:hint="eastAsia"/>
        </w:rPr>
        <w:t>2）规划调研：包括项目边界内的概念性规划、产业规划、控制性详细规划、城市设计，法定规划中片区功能和各项规划指标，专项规划中各类设施和项目；</w:t>
      </w:r>
    </w:p>
    <w:p>
      <w:pPr>
        <w:spacing w:line="360" w:lineRule="auto"/>
        <w:ind w:firstLine="480" w:firstLineChars="200"/>
      </w:pPr>
      <w:r>
        <w:rPr>
          <w:rFonts w:hint="eastAsia"/>
        </w:rPr>
        <w:t>3）现状调研：主要包括本项目区域一般农田和基本农田用地分布、涉及拆迁村庄、保留用地、各街道辖区人口、项目周边房地产市场、项目周边经营性用地市场等情况。</w:t>
      </w:r>
    </w:p>
    <w:p>
      <w:pPr>
        <w:spacing w:line="360" w:lineRule="auto"/>
        <w:ind w:firstLine="480" w:firstLineChars="200"/>
      </w:pPr>
      <w:r>
        <w:rPr>
          <w:rFonts w:hint="eastAsia"/>
        </w:rPr>
        <w:t>2、投资模式设计</w:t>
      </w:r>
    </w:p>
    <w:p>
      <w:pPr>
        <w:spacing w:line="360" w:lineRule="auto"/>
        <w:ind w:firstLine="480" w:firstLineChars="200"/>
      </w:pPr>
      <w:r>
        <w:rPr>
          <w:rFonts w:hint="eastAsia"/>
        </w:rPr>
        <w:t>1）完善项目合作开发模式、锁定项目回报来源、合理设计资金支付条件；</w:t>
      </w:r>
    </w:p>
    <w:p>
      <w:pPr>
        <w:spacing w:line="360" w:lineRule="auto"/>
        <w:ind w:firstLine="480" w:firstLineChars="200"/>
      </w:pPr>
      <w:r>
        <w:rPr>
          <w:rFonts w:hint="eastAsia"/>
        </w:rPr>
        <w:t>2）进行项目滚动开发的初步安排，科学拟定投资建设时序，降低投资风险；</w:t>
      </w:r>
    </w:p>
    <w:p>
      <w:pPr>
        <w:spacing w:line="360" w:lineRule="auto"/>
        <w:ind w:firstLine="480" w:firstLineChars="200"/>
      </w:pPr>
      <w:r>
        <w:rPr>
          <w:rFonts w:hint="eastAsia"/>
        </w:rPr>
        <w:t>3）协助向政府方做投资模式的解释和推介。</w:t>
      </w:r>
    </w:p>
    <w:p>
      <w:pPr>
        <w:spacing w:line="360" w:lineRule="auto"/>
        <w:ind w:firstLine="480" w:firstLineChars="200"/>
      </w:pPr>
      <w:r>
        <w:rPr>
          <w:rFonts w:hint="eastAsia"/>
        </w:rPr>
        <w:t>3、投资可行性评估</w:t>
      </w:r>
    </w:p>
    <w:p>
      <w:pPr>
        <w:spacing w:line="360" w:lineRule="auto"/>
        <w:ind w:firstLine="480" w:firstLineChars="200"/>
      </w:pPr>
      <w:r>
        <w:rPr>
          <w:rFonts w:hint="eastAsia"/>
        </w:rPr>
        <w:t>1）对规划及目标区域现状进行系统性梳理和盘整。主要包括土地使用现状、规划建设项目、可出让土地资源、可经营性设施等，对区域未来政府可支配财力和资产进行统计分析；</w:t>
      </w:r>
    </w:p>
    <w:p>
      <w:pPr>
        <w:spacing w:line="360" w:lineRule="auto"/>
        <w:ind w:firstLine="480" w:firstLineChars="200"/>
      </w:pPr>
      <w:r>
        <w:rPr>
          <w:rFonts w:hint="eastAsia"/>
        </w:rPr>
        <w:t>2）以目标区域的规划条件、中长期及近期建设目标为基础，合理设计开发建设时序及土地出让时序；</w:t>
      </w:r>
    </w:p>
    <w:p>
      <w:pPr>
        <w:spacing w:line="360" w:lineRule="auto"/>
        <w:ind w:firstLine="480" w:firstLineChars="200"/>
      </w:pPr>
      <w:r>
        <w:rPr>
          <w:rFonts w:hint="eastAsia"/>
        </w:rPr>
        <w:t>3）通过建立静态和动态财务模型，对区域未来投资收益情况进行整体评估，为项目的可行性和可落地性提供决策参考；</w:t>
      </w:r>
    </w:p>
    <w:p>
      <w:pPr>
        <w:spacing w:line="360" w:lineRule="auto"/>
        <w:ind w:firstLine="480" w:firstLineChars="200"/>
      </w:pPr>
      <w:r>
        <w:rPr>
          <w:rFonts w:hint="eastAsia"/>
        </w:rPr>
        <w:t>4）通过设计区域产出与建设投资的匹配关系，保障整体开发的可持续性，并考虑满足企业的投资财务要求。</w:t>
      </w:r>
    </w:p>
    <w:p>
      <w:pPr>
        <w:spacing w:line="360" w:lineRule="auto"/>
        <w:ind w:firstLine="480" w:firstLineChars="200"/>
      </w:pPr>
      <w:r>
        <w:rPr>
          <w:rFonts w:hint="eastAsia"/>
        </w:rPr>
        <w:t>4、项目内部投审</w:t>
      </w:r>
    </w:p>
    <w:p>
      <w:pPr>
        <w:spacing w:line="360" w:lineRule="auto"/>
        <w:ind w:firstLine="480" w:firstLineChars="200"/>
      </w:pPr>
      <w:r>
        <w:rPr>
          <w:rFonts w:hint="eastAsia"/>
        </w:rPr>
        <w:t>按照甲方的投资要求，编制内部上会的立项可研和投资可研，并协助向投审会汇报。</w:t>
      </w:r>
    </w:p>
    <w:p>
      <w:pPr>
        <w:spacing w:line="360" w:lineRule="auto"/>
        <w:ind w:firstLine="480" w:firstLineChars="200"/>
      </w:pPr>
      <w:r>
        <w:rPr>
          <w:rFonts w:hint="eastAsia"/>
        </w:rPr>
        <w:t>5、项目推进服务</w:t>
      </w:r>
    </w:p>
    <w:p>
      <w:pPr>
        <w:spacing w:line="360" w:lineRule="auto"/>
        <w:ind w:firstLine="480" w:firstLineChars="200"/>
      </w:pPr>
      <w:r>
        <w:rPr>
          <w:rFonts w:hint="eastAsia"/>
        </w:rPr>
        <w:t>1）协助草拟给政府方的各类专业文件。对政府提出的实施方案及合同等提出分析反馈意见，并针对合作过程中的重要节点和事项以及投资协议的相关内容，协助疆交建完草拟各类专业文件提供给政府方进行解释说明；</w:t>
      </w:r>
    </w:p>
    <w:p>
      <w:pPr>
        <w:spacing w:line="360" w:lineRule="auto"/>
        <w:ind w:firstLine="480" w:firstLineChars="200"/>
      </w:pPr>
      <w:r>
        <w:rPr>
          <w:rFonts w:hint="eastAsia"/>
        </w:rPr>
        <w:t>2）协助甲方完成项目投标。协助甲方与政府方沟通确定项目的采购程序，对项目合作方案、合同等提供分析反馈意见，并协助甲方编制投标文件的商务和财务部分相关内容；</w:t>
      </w:r>
    </w:p>
    <w:p>
      <w:pPr>
        <w:spacing w:line="360" w:lineRule="auto"/>
        <w:ind w:firstLine="480" w:firstLineChars="200"/>
      </w:pPr>
      <w:r>
        <w:rPr>
          <w:rFonts w:hint="eastAsia"/>
        </w:rPr>
        <w:t>3）协助编制《投资合作协议》及合同谈判工作。</w:t>
      </w:r>
    </w:p>
    <w:p>
      <w:pPr>
        <w:spacing w:line="360" w:lineRule="auto"/>
        <w:ind w:firstLine="482" w:firstLineChars="200"/>
        <w:rPr>
          <w:b/>
        </w:rPr>
      </w:pPr>
      <w:r>
        <w:rPr>
          <w:rFonts w:hint="eastAsia"/>
          <w:b/>
        </w:rPr>
        <w:t>第四条  工作方式</w:t>
      </w:r>
    </w:p>
    <w:p>
      <w:pPr>
        <w:spacing w:line="360" w:lineRule="auto"/>
        <w:ind w:firstLine="480" w:firstLineChars="200"/>
      </w:pPr>
      <w:r>
        <w:rPr>
          <w:rFonts w:hint="eastAsia"/>
        </w:rPr>
        <w:t>乙方应根据项目需求和双方认可的方式提供咨询服务，原则上调研、访谈及成果沟通汇报采用现场工作方式，咨询报告编撰采用非现场工作方式。</w:t>
      </w:r>
    </w:p>
    <w:p>
      <w:pPr>
        <w:spacing w:line="360" w:lineRule="auto"/>
        <w:ind w:firstLine="482" w:firstLineChars="200"/>
        <w:rPr>
          <w:b/>
        </w:rPr>
      </w:pPr>
      <w:r>
        <w:rPr>
          <w:rFonts w:hint="eastAsia"/>
          <w:b/>
        </w:rPr>
        <w:t>第五条  工作周期</w:t>
      </w:r>
    </w:p>
    <w:p>
      <w:pPr>
        <w:spacing w:line="360" w:lineRule="auto"/>
        <w:ind w:firstLine="480" w:firstLineChars="200"/>
      </w:pPr>
      <w:r>
        <w:rPr>
          <w:rFonts w:hint="eastAsia"/>
        </w:rPr>
        <w:t>服务周期为合同签订之日起一年。</w:t>
      </w:r>
    </w:p>
    <w:p>
      <w:pPr>
        <w:spacing w:line="360" w:lineRule="auto"/>
        <w:ind w:firstLine="480" w:firstLineChars="200"/>
      </w:pPr>
      <w:r>
        <w:rPr>
          <w:rFonts w:hint="eastAsia"/>
        </w:rPr>
        <w:t>第三章</w:t>
      </w:r>
      <w:r>
        <w:rPr>
          <w:rFonts w:hint="eastAsia"/>
        </w:rPr>
        <w:tab/>
      </w:r>
      <w:r>
        <w:rPr>
          <w:rFonts w:hint="eastAsia"/>
        </w:rPr>
        <w:t>双方的权利和义务</w:t>
      </w:r>
    </w:p>
    <w:p>
      <w:pPr>
        <w:spacing w:line="360" w:lineRule="auto"/>
        <w:ind w:firstLine="482" w:firstLineChars="200"/>
        <w:rPr>
          <w:b/>
        </w:rPr>
      </w:pPr>
      <w:r>
        <w:rPr>
          <w:rFonts w:hint="eastAsia"/>
          <w:b/>
        </w:rPr>
        <w:t>第六条  甲方的权利和义务</w:t>
      </w:r>
    </w:p>
    <w:p>
      <w:pPr>
        <w:spacing w:line="360" w:lineRule="auto"/>
        <w:ind w:firstLine="480" w:firstLineChars="200"/>
      </w:pPr>
      <w:r>
        <w:rPr>
          <w:rFonts w:hint="eastAsia"/>
        </w:rPr>
        <w:t>1.</w:t>
      </w:r>
      <w:r>
        <w:rPr>
          <w:rFonts w:hint="eastAsia"/>
        </w:rPr>
        <w:tab/>
      </w:r>
      <w:r>
        <w:rPr>
          <w:rFonts w:hint="eastAsia"/>
        </w:rPr>
        <w:t>甲方有权对乙方项目负责人及咨询人员提出工作要求，工作要求应当具体、明确、合理。</w:t>
      </w:r>
    </w:p>
    <w:p>
      <w:pPr>
        <w:spacing w:line="360" w:lineRule="auto"/>
        <w:ind w:firstLine="480" w:firstLineChars="200"/>
      </w:pPr>
      <w:r>
        <w:rPr>
          <w:rFonts w:hint="eastAsia"/>
        </w:rPr>
        <w:t>2.</w:t>
      </w:r>
      <w:r>
        <w:rPr>
          <w:rFonts w:hint="eastAsia"/>
        </w:rPr>
        <w:tab/>
      </w:r>
      <w:r>
        <w:rPr>
          <w:rFonts w:hint="eastAsia"/>
        </w:rPr>
        <w:t>甲方应积极协调相关单位，为乙方顺利开展咨询工作创造便利条件，协助乙方开展调研访谈工作，并根据乙方的合理要求，负责向乙方及时提供有关项目的基础资料，以及其它乙方为履行本合同所需的文件资料。</w:t>
      </w:r>
    </w:p>
    <w:p>
      <w:pPr>
        <w:spacing w:line="360" w:lineRule="auto"/>
        <w:ind w:firstLine="480" w:firstLineChars="200"/>
      </w:pPr>
      <w:r>
        <w:rPr>
          <w:rFonts w:hint="eastAsia"/>
        </w:rPr>
        <w:t>3.</w:t>
      </w:r>
      <w:r>
        <w:rPr>
          <w:rFonts w:hint="eastAsia"/>
        </w:rPr>
        <w:tab/>
      </w:r>
      <w:r>
        <w:rPr>
          <w:rFonts w:hint="eastAsia"/>
        </w:rPr>
        <w:t>甲方应当全面、真实地向乙方说明与本项目有关的各种情况，并保证所提供的一切相关文件真实、合法和有效。</w:t>
      </w:r>
    </w:p>
    <w:p>
      <w:pPr>
        <w:spacing w:line="360" w:lineRule="auto"/>
        <w:ind w:firstLine="480" w:firstLineChars="200"/>
      </w:pPr>
      <w:r>
        <w:rPr>
          <w:rFonts w:hint="eastAsia"/>
        </w:rPr>
        <w:t>4.</w:t>
      </w:r>
      <w:r>
        <w:rPr>
          <w:rFonts w:hint="eastAsia"/>
        </w:rPr>
        <w:tab/>
      </w:r>
      <w:r>
        <w:rPr>
          <w:rFonts w:hint="eastAsia"/>
        </w:rPr>
        <w:t>甲方应为本项目安排固定的联系人，在项目工作周期内，安排好项目所需的会议、沟通、反馈等事宜，为乙方提供必要的支持。</w:t>
      </w:r>
    </w:p>
    <w:p>
      <w:pPr>
        <w:spacing w:line="360" w:lineRule="auto"/>
        <w:ind w:firstLine="480" w:firstLineChars="200"/>
      </w:pPr>
      <w:r>
        <w:rPr>
          <w:rFonts w:hint="eastAsia"/>
        </w:rPr>
        <w:t>5.</w:t>
      </w:r>
      <w:r>
        <w:rPr>
          <w:rFonts w:hint="eastAsia"/>
        </w:rPr>
        <w:tab/>
      </w:r>
      <w:r>
        <w:rPr>
          <w:rFonts w:hint="eastAsia"/>
        </w:rPr>
        <w:t>在乙方提供现场服务期间，甲方应为乙方提供必要的办公地点和办公条件。</w:t>
      </w:r>
    </w:p>
    <w:p>
      <w:pPr>
        <w:spacing w:line="360" w:lineRule="auto"/>
        <w:ind w:firstLine="480" w:firstLineChars="200"/>
      </w:pPr>
      <w:r>
        <w:rPr>
          <w:rFonts w:hint="eastAsia"/>
        </w:rPr>
        <w:t>6.</w:t>
      </w:r>
      <w:r>
        <w:rPr>
          <w:rFonts w:hint="eastAsia"/>
        </w:rPr>
        <w:tab/>
      </w:r>
      <w:r>
        <w:rPr>
          <w:rFonts w:hint="eastAsia"/>
        </w:rPr>
        <w:t>甲方应按本合同规定，及时向乙方足额支付相应的费用。</w:t>
      </w:r>
    </w:p>
    <w:p>
      <w:pPr>
        <w:spacing w:line="360" w:lineRule="auto"/>
        <w:ind w:firstLine="480" w:firstLineChars="200"/>
      </w:pPr>
      <w:r>
        <w:rPr>
          <w:rFonts w:hint="eastAsia"/>
        </w:rPr>
        <w:t>7.</w:t>
      </w:r>
      <w:r>
        <w:rPr>
          <w:rFonts w:hint="eastAsia"/>
        </w:rPr>
        <w:tab/>
      </w:r>
      <w:r>
        <w:rPr>
          <w:rFonts w:hint="eastAsia"/>
        </w:rPr>
        <w:t>甲方如认为乙方项目人员不能胜任项目工作时，有权要求乙方更换项目成员。</w:t>
      </w:r>
    </w:p>
    <w:p>
      <w:pPr>
        <w:spacing w:line="360" w:lineRule="auto"/>
        <w:ind w:firstLine="482" w:firstLineChars="200"/>
        <w:rPr>
          <w:b/>
        </w:rPr>
      </w:pPr>
      <w:r>
        <w:rPr>
          <w:rFonts w:hint="eastAsia"/>
          <w:b/>
        </w:rPr>
        <w:t>第七条  乙方的权利和义务</w:t>
      </w:r>
    </w:p>
    <w:p>
      <w:pPr>
        <w:spacing w:line="360" w:lineRule="auto"/>
        <w:ind w:firstLine="480" w:firstLineChars="200"/>
      </w:pPr>
      <w:r>
        <w:rPr>
          <w:rFonts w:hint="eastAsia"/>
        </w:rPr>
        <w:t>1.</w:t>
      </w:r>
      <w:r>
        <w:rPr>
          <w:rFonts w:hint="eastAsia"/>
        </w:rPr>
        <w:tab/>
      </w:r>
      <w:r>
        <w:rPr>
          <w:rFonts w:hint="eastAsia"/>
        </w:rPr>
        <w:t>乙方应充分理解项目的服务需求和甲方的意图，并将其贯穿于整个项目实施的过程中。</w:t>
      </w:r>
    </w:p>
    <w:p>
      <w:pPr>
        <w:spacing w:line="360" w:lineRule="auto"/>
        <w:ind w:firstLine="480" w:firstLineChars="200"/>
      </w:pPr>
      <w:r>
        <w:rPr>
          <w:rFonts w:hint="eastAsia"/>
        </w:rPr>
        <w:t>2.</w:t>
      </w:r>
      <w:r>
        <w:rPr>
          <w:rFonts w:hint="eastAsia"/>
        </w:rPr>
        <w:tab/>
      </w:r>
      <w:r>
        <w:rPr>
          <w:rFonts w:hint="eastAsia"/>
        </w:rPr>
        <w:t>乙方应严格按照有关规定进行质量管理，提高服务工作的效率和质量。</w:t>
      </w:r>
    </w:p>
    <w:p>
      <w:pPr>
        <w:spacing w:line="360" w:lineRule="auto"/>
        <w:ind w:firstLine="480" w:firstLineChars="200"/>
      </w:pPr>
      <w:r>
        <w:rPr>
          <w:rFonts w:hint="eastAsia"/>
        </w:rPr>
        <w:t>3.</w:t>
      </w:r>
      <w:r>
        <w:rPr>
          <w:rFonts w:hint="eastAsia"/>
        </w:rPr>
        <w:tab/>
      </w:r>
      <w:r>
        <w:rPr>
          <w:rFonts w:hint="eastAsia"/>
        </w:rPr>
        <w:t>乙方应选派合格和足够的咨询人员，并保证咨询人员有足够的工作时间以便及时提供咨询服务。</w:t>
      </w:r>
    </w:p>
    <w:p>
      <w:pPr>
        <w:spacing w:line="360" w:lineRule="auto"/>
        <w:ind w:firstLine="480" w:firstLineChars="200"/>
      </w:pPr>
      <w:r>
        <w:rPr>
          <w:rFonts w:hint="eastAsia"/>
        </w:rPr>
        <w:t>4.</w:t>
      </w:r>
      <w:r>
        <w:rPr>
          <w:rFonts w:hint="eastAsia"/>
        </w:rPr>
        <w:tab/>
      </w:r>
      <w:r>
        <w:rPr>
          <w:rFonts w:hint="eastAsia"/>
        </w:rPr>
        <w:t>乙方更换项目主要咨询人员应提前告知甲方，未经甲方同意，不得随意更换项目负责人。</w:t>
      </w:r>
    </w:p>
    <w:p>
      <w:pPr>
        <w:spacing w:line="360" w:lineRule="auto"/>
        <w:ind w:firstLine="480" w:firstLineChars="200"/>
      </w:pPr>
      <w:r>
        <w:rPr>
          <w:rFonts w:hint="eastAsia"/>
        </w:rPr>
        <w:t>5.</w:t>
      </w:r>
      <w:r>
        <w:rPr>
          <w:rFonts w:hint="eastAsia"/>
        </w:rPr>
        <w:tab/>
      </w:r>
      <w:r>
        <w:rPr>
          <w:rFonts w:hint="eastAsia"/>
        </w:rPr>
        <w:t>乙方应同甲方共同商定咨询服务工作计划，对工作进度进行控制，并按照工作计划安排及时向甲方汇报工作和交付成果。</w:t>
      </w:r>
    </w:p>
    <w:p>
      <w:pPr>
        <w:spacing w:line="360" w:lineRule="auto"/>
        <w:ind w:firstLine="480" w:firstLineChars="200"/>
      </w:pPr>
      <w:r>
        <w:rPr>
          <w:rFonts w:hint="eastAsia"/>
        </w:rPr>
        <w:t>6.</w:t>
      </w:r>
      <w:r>
        <w:rPr>
          <w:rFonts w:hint="eastAsia"/>
        </w:rPr>
        <w:tab/>
      </w:r>
      <w:r>
        <w:rPr>
          <w:rFonts w:hint="eastAsia"/>
        </w:rPr>
        <w:t>根据合同约定的支付进度及时通知甲方支付咨询服务费。</w:t>
      </w:r>
    </w:p>
    <w:p>
      <w:pPr>
        <w:spacing w:line="360" w:lineRule="auto"/>
        <w:ind w:firstLine="482" w:firstLineChars="200"/>
        <w:rPr>
          <w:b/>
        </w:rPr>
      </w:pPr>
      <w:r>
        <w:rPr>
          <w:rFonts w:hint="eastAsia"/>
          <w:b/>
        </w:rPr>
        <w:t>第八条 提交咨询工作成果</w:t>
      </w:r>
    </w:p>
    <w:p>
      <w:pPr>
        <w:spacing w:line="360" w:lineRule="auto"/>
        <w:ind w:firstLine="480" w:firstLineChars="200"/>
      </w:pPr>
      <w:r>
        <w:rPr>
          <w:rFonts w:hint="eastAsia"/>
        </w:rPr>
        <w:t>在项目实施过程中，乙方应以电子文档的方式向甲方提交各工作阶段的工作成果，最终工作成果以书面报告及电子文档的形式提供。</w:t>
      </w:r>
    </w:p>
    <w:p>
      <w:pPr>
        <w:spacing w:line="360" w:lineRule="auto"/>
        <w:ind w:firstLine="480" w:firstLineChars="200"/>
      </w:pPr>
      <w:r>
        <w:rPr>
          <w:rFonts w:hint="eastAsia"/>
        </w:rPr>
        <w:t>同时，乙方应以工作日志、会议纪要等方式对非成果性工作或以正式报告形式对难以记载的工作过程予以记录，并交甲方确认。</w:t>
      </w:r>
    </w:p>
    <w:p>
      <w:pPr>
        <w:spacing w:line="360" w:lineRule="auto"/>
        <w:ind w:firstLine="482" w:firstLineChars="200"/>
        <w:rPr>
          <w:b/>
        </w:rPr>
      </w:pPr>
      <w:r>
        <w:rPr>
          <w:rFonts w:hint="eastAsia"/>
          <w:b/>
        </w:rPr>
        <w:t>第四章  咨询服务费用和支付方式</w:t>
      </w:r>
    </w:p>
    <w:p>
      <w:pPr>
        <w:spacing w:line="360" w:lineRule="auto"/>
        <w:ind w:firstLine="482" w:firstLineChars="200"/>
        <w:rPr>
          <w:b/>
        </w:rPr>
      </w:pPr>
      <w:r>
        <w:rPr>
          <w:rFonts w:hint="eastAsia"/>
          <w:b/>
        </w:rPr>
        <w:t>第九条  咨询服务费用和支付方式</w:t>
      </w:r>
    </w:p>
    <w:p>
      <w:pPr>
        <w:spacing w:line="360" w:lineRule="auto"/>
        <w:ind w:firstLine="480" w:firstLineChars="200"/>
      </w:pPr>
      <w:r>
        <w:rPr>
          <w:rFonts w:hint="eastAsia"/>
        </w:rPr>
        <w:t>（一）基础服务工作咨询服务费</w:t>
      </w:r>
    </w:p>
    <w:p>
      <w:pPr>
        <w:spacing w:line="360" w:lineRule="auto"/>
        <w:ind w:firstLine="480" w:firstLineChars="200"/>
      </w:pPr>
      <w:r>
        <w:rPr>
          <w:rFonts w:hint="eastAsia"/>
        </w:rPr>
        <w:t>1、基础服务工作咨询服务费含税总额为人民币**元整（¥**），其中不含税金额为人民币**元（¥**），增值税税率__%（当增值税税率调整时，以不含税金额为基数进行调整）。此合同价款包含完成基础服务工作内容的全部费用（不包含赴项目所在地的差旅费用，赴项目所在地的交通和住宿由甲方安排），包括但不限于：提供该服务所发生的所有人员工资、管理费、税费、利润等费用。</w:t>
      </w:r>
    </w:p>
    <w:p>
      <w:pPr>
        <w:spacing w:line="360" w:lineRule="auto"/>
        <w:ind w:firstLine="480" w:firstLineChars="200"/>
      </w:pPr>
      <w:r>
        <w:rPr>
          <w:rFonts w:hint="eastAsia"/>
        </w:rPr>
        <w:t>2、支付方式</w:t>
      </w:r>
    </w:p>
    <w:p>
      <w:pPr>
        <w:spacing w:line="360" w:lineRule="auto"/>
        <w:ind w:firstLine="480" w:firstLineChars="200"/>
      </w:pPr>
      <w:r>
        <w:rPr>
          <w:rFonts w:hint="eastAsia"/>
        </w:rPr>
        <w:t>根据工作进度按季度拨付，即每季度支付人民币**元整（¥**）。第一季度的服务费在本合同签订后一周内支付，后续的季度服务费在每个季度开始后一周内支付，每次支付前应提供增值税专用发票。</w:t>
      </w:r>
    </w:p>
    <w:p>
      <w:pPr>
        <w:spacing w:line="360" w:lineRule="auto"/>
        <w:ind w:firstLine="480" w:firstLineChars="200"/>
      </w:pPr>
      <w:r>
        <w:rPr>
          <w:rFonts w:hint="eastAsia"/>
        </w:rPr>
        <w:t>（二）项目投顾服务费</w:t>
      </w:r>
    </w:p>
    <w:p>
      <w:pPr>
        <w:spacing w:line="360" w:lineRule="auto"/>
        <w:ind w:firstLine="480" w:firstLineChars="200"/>
      </w:pPr>
      <w:r>
        <w:rPr>
          <w:rFonts w:hint="eastAsia"/>
        </w:rPr>
        <w:t>1、根据具体项目和双方意愿另行签署具体的投资顾问咨询服务合同并支付服务费（含税），投资顾问服务费率为投资额的**，上限为人民币**元整（小写：¥**）；下限为人民币**元整（小写：¥**），视项目情况由双方协商确定。</w:t>
      </w:r>
    </w:p>
    <w:p>
      <w:pPr>
        <w:spacing w:line="360" w:lineRule="auto"/>
        <w:ind w:firstLine="480" w:firstLineChars="200"/>
      </w:pPr>
      <w:r>
        <w:rPr>
          <w:rFonts w:hint="eastAsia"/>
        </w:rPr>
        <w:t>2、支付方式</w:t>
      </w:r>
    </w:p>
    <w:p>
      <w:pPr>
        <w:spacing w:line="360" w:lineRule="auto"/>
        <w:ind w:firstLine="480" w:firstLineChars="200"/>
      </w:pPr>
      <w:r>
        <w:rPr>
          <w:rFonts w:hint="eastAsia"/>
        </w:rPr>
        <w:t>（1）投资顾问咨询服务合同签订之日起十个工作日内，甲方向乙方支付咨询服务费的20%；</w:t>
      </w:r>
    </w:p>
    <w:p>
      <w:pPr>
        <w:spacing w:line="360" w:lineRule="auto"/>
        <w:ind w:firstLine="480" w:firstLineChars="200"/>
      </w:pPr>
      <w:r>
        <w:rPr>
          <w:rFonts w:hint="eastAsia"/>
        </w:rPr>
        <w:t>（2）在项目推进过程中，提交投资可行性研究报告后，甲方向乙方支付咨询服务费的20%；</w:t>
      </w:r>
    </w:p>
    <w:p>
      <w:pPr>
        <w:spacing w:line="360" w:lineRule="auto"/>
        <w:ind w:firstLine="480" w:firstLineChars="200"/>
      </w:pPr>
      <w:r>
        <w:rPr>
          <w:rFonts w:hint="eastAsia"/>
        </w:rPr>
        <w:t>（3）项目招标公告挂网后的十个工作日内，甲方向乙方支付咨询服务费的30%；</w:t>
      </w:r>
    </w:p>
    <w:p>
      <w:pPr>
        <w:spacing w:line="360" w:lineRule="auto"/>
        <w:ind w:firstLine="480" w:firstLineChars="200"/>
      </w:pPr>
      <w:r>
        <w:rPr>
          <w:rFonts w:hint="eastAsia"/>
        </w:rPr>
        <w:t>（4）项目签署投资合作协议后十个工作日内，甲方向乙方支付咨询服务费的30%。</w:t>
      </w:r>
    </w:p>
    <w:p>
      <w:pPr>
        <w:spacing w:line="360" w:lineRule="auto"/>
        <w:ind w:firstLine="480" w:firstLineChars="200"/>
      </w:pPr>
      <w:r>
        <w:rPr>
          <w:rFonts w:hint="eastAsia"/>
        </w:rPr>
        <w:t>具体支付金额及支付方式在另行签署的投资顾问咨询服务合同中约定。</w:t>
      </w:r>
    </w:p>
    <w:p>
      <w:pPr>
        <w:spacing w:line="360" w:lineRule="auto"/>
        <w:ind w:firstLine="480" w:firstLineChars="200"/>
      </w:pPr>
      <w:r>
        <w:rPr>
          <w:rFonts w:hint="eastAsia"/>
        </w:rPr>
        <w:t>（三）甲方支付咨询服务费至以下乙方银行账户：</w:t>
      </w:r>
    </w:p>
    <w:p>
      <w:pPr>
        <w:spacing w:line="360" w:lineRule="auto"/>
        <w:ind w:firstLine="480" w:firstLineChars="200"/>
      </w:pPr>
      <w:r>
        <w:rPr>
          <w:rFonts w:hint="eastAsia"/>
        </w:rPr>
        <w:t>开户行：</w:t>
      </w:r>
    </w:p>
    <w:p>
      <w:pPr>
        <w:spacing w:line="360" w:lineRule="auto"/>
        <w:ind w:firstLine="480" w:firstLineChars="200"/>
      </w:pPr>
      <w:r>
        <w:rPr>
          <w:rFonts w:hint="eastAsia"/>
        </w:rPr>
        <w:t xml:space="preserve">开户名：    </w:t>
      </w:r>
    </w:p>
    <w:p>
      <w:pPr>
        <w:spacing w:line="360" w:lineRule="auto"/>
        <w:ind w:firstLine="480" w:firstLineChars="200"/>
      </w:pPr>
      <w:r>
        <w:rPr>
          <w:rFonts w:hint="eastAsia"/>
        </w:rPr>
        <w:t>账  号：</w:t>
      </w:r>
    </w:p>
    <w:p>
      <w:pPr>
        <w:spacing w:line="360" w:lineRule="auto"/>
        <w:ind w:firstLine="480" w:firstLineChars="200"/>
      </w:pPr>
      <w:r>
        <w:rPr>
          <w:rFonts w:hint="eastAsia"/>
        </w:rPr>
        <w:t>（四）乙方须根据甲方财务要求提供相应金额的增值税专用发票。</w:t>
      </w:r>
    </w:p>
    <w:p>
      <w:pPr>
        <w:spacing w:line="360" w:lineRule="auto"/>
        <w:ind w:firstLine="482" w:firstLineChars="200"/>
        <w:rPr>
          <w:b/>
        </w:rPr>
      </w:pPr>
      <w:r>
        <w:rPr>
          <w:rFonts w:hint="eastAsia"/>
          <w:b/>
        </w:rPr>
        <w:t>第五章 保密条款</w:t>
      </w:r>
    </w:p>
    <w:p>
      <w:pPr>
        <w:spacing w:line="360" w:lineRule="auto"/>
        <w:ind w:firstLine="482" w:firstLineChars="200"/>
        <w:rPr>
          <w:b/>
        </w:rPr>
      </w:pPr>
      <w:r>
        <w:rPr>
          <w:rFonts w:hint="eastAsia"/>
          <w:b/>
        </w:rPr>
        <w:t>第十条  保密条款</w:t>
      </w:r>
    </w:p>
    <w:p>
      <w:pPr>
        <w:spacing w:line="360" w:lineRule="auto"/>
        <w:ind w:firstLine="480" w:firstLineChars="200"/>
      </w:pPr>
      <w:r>
        <w:rPr>
          <w:rFonts w:hint="eastAsia"/>
        </w:rPr>
        <w:t>1.乙方在为甲方提供服务期间，保守甲方的商业机密，妥善保管和使用甲方提供的商业数据资料，所知悉、获得的甲方商业数据未经甲方同意不得公开或泄露给第三方。</w:t>
      </w:r>
    </w:p>
    <w:p>
      <w:pPr>
        <w:spacing w:line="360" w:lineRule="auto"/>
        <w:ind w:firstLine="480" w:firstLineChars="200"/>
      </w:pPr>
      <w:r>
        <w:rPr>
          <w:rFonts w:hint="eastAsia"/>
        </w:rPr>
        <w:t>2.本合同约定的咨询服务及与之相关的信息、资料和文件的保密期限自本合同生效之日开始，至本合同终止后三年止。</w:t>
      </w:r>
    </w:p>
    <w:p>
      <w:pPr>
        <w:spacing w:line="360" w:lineRule="auto"/>
        <w:ind w:firstLine="480" w:firstLineChars="200"/>
      </w:pPr>
      <w:r>
        <w:rPr>
          <w:rFonts w:hint="eastAsia"/>
        </w:rPr>
        <w:t>3.乙方应保证向甲方提交的所有咨询服务成果均无任何其他侵权行为。</w:t>
      </w:r>
    </w:p>
    <w:p>
      <w:pPr>
        <w:spacing w:line="360" w:lineRule="auto"/>
        <w:ind w:firstLine="480" w:firstLineChars="200"/>
      </w:pPr>
      <w:r>
        <w:rPr>
          <w:rFonts w:hint="eastAsia"/>
        </w:rPr>
        <w:t>4.在不涉及甲方商业机密的前期下，乙方可以将咨询服务的过程和相关内容作为自己的工作案例使用，也可以在编写文章和书籍中引用。</w:t>
      </w:r>
    </w:p>
    <w:p>
      <w:pPr>
        <w:spacing w:line="360" w:lineRule="auto"/>
        <w:ind w:firstLine="482" w:firstLineChars="200"/>
        <w:rPr>
          <w:b/>
        </w:rPr>
      </w:pPr>
      <w:r>
        <w:rPr>
          <w:rFonts w:hint="eastAsia"/>
          <w:b/>
        </w:rPr>
        <w:t>第六章 违约责任及合同终止</w:t>
      </w:r>
    </w:p>
    <w:p>
      <w:pPr>
        <w:spacing w:line="360" w:lineRule="auto"/>
        <w:ind w:firstLine="482" w:firstLineChars="200"/>
        <w:rPr>
          <w:b/>
        </w:rPr>
      </w:pPr>
      <w:r>
        <w:rPr>
          <w:rFonts w:hint="eastAsia"/>
          <w:b/>
        </w:rPr>
        <w:t>第十一条  违约责任</w:t>
      </w:r>
    </w:p>
    <w:p>
      <w:pPr>
        <w:spacing w:line="360" w:lineRule="auto"/>
        <w:ind w:firstLine="480" w:firstLineChars="200"/>
      </w:pPr>
      <w:r>
        <w:rPr>
          <w:rFonts w:hint="eastAsia"/>
        </w:rPr>
        <w:t>1.乙方提交的咨询服务成果达不到本合同约定标准，且经甲方提出修改或完善要求后仍不能满足要求的，甲方有权单方解除合同。</w:t>
      </w:r>
    </w:p>
    <w:p>
      <w:pPr>
        <w:spacing w:line="360" w:lineRule="auto"/>
        <w:ind w:firstLine="480" w:firstLineChars="200"/>
      </w:pPr>
      <w:r>
        <w:rPr>
          <w:rFonts w:hint="eastAsia"/>
        </w:rPr>
        <w:t>2.若因非乙方责任导致合同解除的，甲方须向乙方支付乙方已完成咨询服务对应的咨询服务费。</w:t>
      </w:r>
    </w:p>
    <w:p>
      <w:pPr>
        <w:spacing w:line="360" w:lineRule="auto"/>
        <w:ind w:firstLine="480" w:firstLineChars="200"/>
      </w:pPr>
      <w:r>
        <w:rPr>
          <w:rFonts w:hint="eastAsia"/>
        </w:rPr>
        <w:t>3.除上述已列明违约行为外，甲乙双方任何一方违约，守约方都有权根据具体违约事实或国家法律法规要求违约方承担违约或损害赔偿责任。</w:t>
      </w:r>
    </w:p>
    <w:p>
      <w:pPr>
        <w:spacing w:line="360" w:lineRule="auto"/>
        <w:ind w:firstLine="482" w:firstLineChars="200"/>
        <w:rPr>
          <w:b/>
        </w:rPr>
      </w:pPr>
      <w:r>
        <w:rPr>
          <w:rFonts w:hint="eastAsia"/>
          <w:b/>
        </w:rPr>
        <w:t>第十二条 合同终止</w:t>
      </w:r>
    </w:p>
    <w:p>
      <w:pPr>
        <w:spacing w:line="360" w:lineRule="auto"/>
        <w:ind w:firstLine="480" w:firstLineChars="200"/>
      </w:pPr>
      <w:r>
        <w:rPr>
          <w:rFonts w:hint="eastAsia"/>
        </w:rPr>
        <w:t>1.当各阶段咨询服务工作全部完成，同时甲方足额支付乙方全部咨询服务费，本合同自然终止。</w:t>
      </w:r>
    </w:p>
    <w:p>
      <w:pPr>
        <w:spacing w:line="360" w:lineRule="auto"/>
        <w:ind w:firstLine="480" w:firstLineChars="200"/>
      </w:pPr>
      <w:r>
        <w:rPr>
          <w:rFonts w:hint="eastAsia"/>
        </w:rPr>
        <w:t>2.经甲、乙双方书面协商一致，本合同可以终止。</w:t>
      </w:r>
    </w:p>
    <w:p>
      <w:pPr>
        <w:spacing w:line="360" w:lineRule="auto"/>
        <w:ind w:firstLine="482" w:firstLineChars="200"/>
        <w:rPr>
          <w:b/>
        </w:rPr>
      </w:pPr>
      <w:r>
        <w:rPr>
          <w:rFonts w:hint="eastAsia"/>
          <w:b/>
        </w:rPr>
        <w:t>第七章  不可抗力</w:t>
      </w:r>
    </w:p>
    <w:p>
      <w:pPr>
        <w:spacing w:line="360" w:lineRule="auto"/>
        <w:ind w:firstLine="482" w:firstLineChars="200"/>
        <w:rPr>
          <w:b/>
        </w:rPr>
      </w:pPr>
      <w:r>
        <w:rPr>
          <w:rFonts w:hint="eastAsia"/>
          <w:b/>
        </w:rPr>
        <w:t>第十三条  不可抗力定义</w:t>
      </w:r>
    </w:p>
    <w:p>
      <w:pPr>
        <w:spacing w:line="360" w:lineRule="auto"/>
        <w:ind w:firstLine="480" w:firstLineChars="200"/>
      </w:pPr>
      <w:r>
        <w:rPr>
          <w:rFonts w:hint="eastAsia"/>
        </w:rPr>
        <w:t>不可抗力是指本合同签订后所发生的当事人不可预见、不能控制的，且当事人用合法手段不能防止发生的事件或情况，包括恐怖主义分子破坏、战争、地震、火山爆发、火灾、水灾、流行传染病等自然灾害及由非乙方雇员引起的罢工或社会局面动荡。</w:t>
      </w:r>
    </w:p>
    <w:p>
      <w:pPr>
        <w:spacing w:line="360" w:lineRule="auto"/>
        <w:ind w:firstLine="482" w:firstLineChars="200"/>
        <w:rPr>
          <w:b/>
        </w:rPr>
      </w:pPr>
      <w:r>
        <w:rPr>
          <w:rFonts w:hint="eastAsia"/>
          <w:b/>
        </w:rPr>
        <w:t>第十四条  通知义务</w:t>
      </w:r>
    </w:p>
    <w:p>
      <w:pPr>
        <w:spacing w:line="360" w:lineRule="auto"/>
        <w:ind w:firstLine="480" w:firstLineChars="200"/>
      </w:pPr>
      <w:r>
        <w:rPr>
          <w:rFonts w:hint="eastAsia"/>
        </w:rPr>
        <w:t>任何一方由于不可抗力而影响其履行合同所规定义务的，受事件影响的一方应尽快将发生不可抗力事件的情况以书面形式通知另一方，说明发生不可抗力以及不可抗力可能持续的时间。</w:t>
      </w:r>
    </w:p>
    <w:p>
      <w:pPr>
        <w:spacing w:line="360" w:lineRule="auto"/>
        <w:ind w:firstLine="482" w:firstLineChars="200"/>
        <w:rPr>
          <w:b/>
        </w:rPr>
      </w:pPr>
      <w:r>
        <w:rPr>
          <w:rFonts w:hint="eastAsia"/>
          <w:b/>
        </w:rPr>
        <w:t>第十五条  继续履行</w:t>
      </w:r>
    </w:p>
    <w:p>
      <w:pPr>
        <w:spacing w:line="360" w:lineRule="auto"/>
        <w:ind w:firstLine="480" w:firstLineChars="200"/>
      </w:pPr>
      <w:r>
        <w:rPr>
          <w:rFonts w:hint="eastAsia"/>
        </w:rPr>
        <w:t>双方在不可抗力事件停止后或影响消除后应立即继续履行合同义务，合同有效期和有关履行合同的预定的期限相应顺延。</w:t>
      </w:r>
    </w:p>
    <w:p>
      <w:pPr>
        <w:spacing w:line="360" w:lineRule="auto"/>
        <w:ind w:firstLine="482" w:firstLineChars="200"/>
        <w:rPr>
          <w:b/>
        </w:rPr>
      </w:pPr>
      <w:r>
        <w:rPr>
          <w:rFonts w:hint="eastAsia"/>
          <w:b/>
        </w:rPr>
        <w:t>第十六条  损失承担</w:t>
      </w:r>
    </w:p>
    <w:p>
      <w:pPr>
        <w:spacing w:line="360" w:lineRule="auto"/>
        <w:ind w:firstLine="480" w:firstLineChars="200"/>
      </w:pPr>
      <w:r>
        <w:rPr>
          <w:rFonts w:hint="eastAsia"/>
        </w:rPr>
        <w:t>双方应承担各自因不可抗力造成的损失。</w:t>
      </w:r>
    </w:p>
    <w:p>
      <w:pPr>
        <w:spacing w:line="360" w:lineRule="auto"/>
        <w:ind w:firstLine="482" w:firstLineChars="200"/>
        <w:rPr>
          <w:b/>
        </w:rPr>
      </w:pPr>
      <w:r>
        <w:rPr>
          <w:rFonts w:hint="eastAsia"/>
          <w:b/>
        </w:rPr>
        <w:t>第八章  争议解决</w:t>
      </w:r>
    </w:p>
    <w:p>
      <w:pPr>
        <w:spacing w:line="360" w:lineRule="auto"/>
        <w:ind w:firstLine="482" w:firstLineChars="200"/>
        <w:rPr>
          <w:b/>
        </w:rPr>
      </w:pPr>
      <w:r>
        <w:rPr>
          <w:rFonts w:hint="eastAsia"/>
          <w:b/>
        </w:rPr>
        <w:t>第十七条  友好协商解决</w:t>
      </w:r>
    </w:p>
    <w:p>
      <w:pPr>
        <w:spacing w:line="360" w:lineRule="auto"/>
        <w:ind w:firstLine="480" w:firstLineChars="200"/>
      </w:pPr>
      <w:r>
        <w:rPr>
          <w:rFonts w:hint="eastAsia"/>
        </w:rPr>
        <w:t>双方应本着平等互利、友好合作的精神保证本合同的顺利履行。如在履行过程中发生争议，应首先通过友好协商解决。</w:t>
      </w:r>
    </w:p>
    <w:p>
      <w:pPr>
        <w:spacing w:line="360" w:lineRule="auto"/>
        <w:ind w:firstLine="482" w:firstLineChars="200"/>
        <w:rPr>
          <w:b/>
        </w:rPr>
      </w:pPr>
      <w:r>
        <w:rPr>
          <w:rFonts w:hint="eastAsia"/>
          <w:b/>
        </w:rPr>
        <w:t>第十八条  诉讼解决</w:t>
      </w:r>
    </w:p>
    <w:p>
      <w:pPr>
        <w:spacing w:line="360" w:lineRule="auto"/>
        <w:ind w:firstLine="480" w:firstLineChars="200"/>
      </w:pPr>
      <w:r>
        <w:rPr>
          <w:rFonts w:hint="eastAsia"/>
        </w:rPr>
        <w:t xml:space="preserve">如通过友好协商不能解决争议时，任何一方有权向甲方所在地有管辖权的法院提起诉讼。 </w:t>
      </w:r>
    </w:p>
    <w:p>
      <w:pPr>
        <w:spacing w:line="360" w:lineRule="auto"/>
        <w:ind w:firstLine="482" w:firstLineChars="200"/>
        <w:rPr>
          <w:b/>
        </w:rPr>
      </w:pPr>
      <w:r>
        <w:rPr>
          <w:rFonts w:hint="eastAsia"/>
          <w:b/>
        </w:rPr>
        <w:t>第九章</w:t>
      </w:r>
      <w:r>
        <w:rPr>
          <w:rFonts w:hint="eastAsia"/>
          <w:b/>
        </w:rPr>
        <w:tab/>
      </w:r>
      <w:r>
        <w:rPr>
          <w:rFonts w:hint="eastAsia"/>
          <w:b/>
        </w:rPr>
        <w:t>其它</w:t>
      </w:r>
    </w:p>
    <w:p>
      <w:pPr>
        <w:spacing w:line="360" w:lineRule="auto"/>
        <w:ind w:firstLine="482" w:firstLineChars="200"/>
        <w:rPr>
          <w:b/>
        </w:rPr>
      </w:pPr>
      <w:r>
        <w:rPr>
          <w:rFonts w:hint="eastAsia"/>
          <w:b/>
        </w:rPr>
        <w:t>第十九条  合同生效</w:t>
      </w:r>
    </w:p>
    <w:p>
      <w:pPr>
        <w:spacing w:line="360" w:lineRule="auto"/>
        <w:ind w:firstLine="480" w:firstLineChars="200"/>
      </w:pPr>
      <w:r>
        <w:rPr>
          <w:rFonts w:hint="eastAsia"/>
        </w:rPr>
        <w:t>本合同自双方盖章之日起生效。</w:t>
      </w:r>
    </w:p>
    <w:p>
      <w:pPr>
        <w:spacing w:line="360" w:lineRule="auto"/>
        <w:ind w:firstLine="482" w:firstLineChars="200"/>
        <w:rPr>
          <w:b/>
        </w:rPr>
      </w:pPr>
      <w:r>
        <w:rPr>
          <w:rFonts w:hint="eastAsia"/>
          <w:b/>
        </w:rPr>
        <w:t>第二十条  其他</w:t>
      </w:r>
    </w:p>
    <w:p>
      <w:pPr>
        <w:spacing w:line="360" w:lineRule="auto"/>
        <w:ind w:firstLine="480" w:firstLineChars="200"/>
      </w:pPr>
      <w:r>
        <w:rPr>
          <w:rFonts w:hint="eastAsia"/>
        </w:rPr>
        <w:t>本合同未尽事宜可由双方协商签订补充协议。本合同的修改和补充必须以书面形式方为有效。合同的修改和补充与本合同具有同等效力。</w:t>
      </w:r>
    </w:p>
    <w:p>
      <w:pPr>
        <w:spacing w:line="360" w:lineRule="auto"/>
        <w:ind w:firstLine="480" w:firstLineChars="200"/>
      </w:pPr>
      <w:r>
        <w:rPr>
          <w:rFonts w:hint="eastAsia"/>
        </w:rPr>
        <w:t>本合同一式捌份，甲方执肆份，乙方执肆份，各具有同等的法律效力。</w:t>
      </w:r>
    </w:p>
    <w:p>
      <w:pPr>
        <w:spacing w:line="360" w:lineRule="auto"/>
        <w:ind w:firstLine="480" w:firstLineChars="200"/>
      </w:pPr>
      <w:r>
        <w:rPr>
          <w:rFonts w:hint="eastAsia"/>
        </w:rPr>
        <w:t>（以下无正文）</w:t>
      </w:r>
    </w:p>
    <w:p>
      <w:pPr>
        <w:spacing w:line="360" w:lineRule="auto"/>
      </w:pPr>
    </w:p>
    <w:p>
      <w:pPr>
        <w:sectPr>
          <w:type w:val="continuous"/>
          <w:pgSz w:w="11906" w:h="16838"/>
          <w:pgMar w:top="1440" w:right="1800" w:bottom="1440" w:left="1800" w:header="851" w:footer="992" w:gutter="0"/>
          <w:cols w:space="425" w:num="1"/>
          <w:docGrid w:type="lines" w:linePitch="312" w:charSpace="0"/>
        </w:sectPr>
      </w:pPr>
    </w:p>
    <w:p>
      <w:pPr>
        <w:sectPr>
          <w:pgSz w:w="11906" w:h="16838"/>
          <w:pgMar w:top="1440" w:right="1800" w:bottom="1440" w:left="1800" w:header="851" w:footer="992" w:gutter="0"/>
          <w:cols w:space="425" w:num="1"/>
          <w:docGrid w:type="lines" w:linePitch="312" w:charSpace="0"/>
        </w:sectPr>
      </w:pPr>
      <w:r>
        <w:t xml:space="preserve"> </w:t>
      </w:r>
    </w:p>
    <w:p>
      <w:pPr>
        <w:spacing w:line="480" w:lineRule="auto"/>
      </w:pPr>
    </w:p>
    <w:p>
      <w:pPr>
        <w:spacing w:line="480" w:lineRule="auto"/>
      </w:pPr>
      <w:r>
        <w:rPr>
          <w:rFonts w:hint="eastAsia"/>
        </w:rPr>
        <w:t>（本页为签署页）</w:t>
      </w:r>
    </w:p>
    <w:p>
      <w:pPr>
        <w:spacing w:line="480" w:lineRule="auto"/>
      </w:pPr>
    </w:p>
    <w:p>
      <w:pPr>
        <w:spacing w:line="480" w:lineRule="auto"/>
      </w:pPr>
      <w:r>
        <w:rPr>
          <w:rFonts w:hint="eastAsia"/>
        </w:rPr>
        <w:t>甲方（盖章）：新疆交通建设集团股份有限公司</w:t>
      </w:r>
    </w:p>
    <w:p>
      <w:pPr>
        <w:spacing w:line="480" w:lineRule="auto"/>
      </w:pPr>
      <w:r>
        <w:rPr>
          <w:rFonts w:hint="eastAsia"/>
        </w:rPr>
        <w:t xml:space="preserve">法定代表人：                        </w:t>
      </w:r>
    </w:p>
    <w:p>
      <w:pPr>
        <w:spacing w:line="480" w:lineRule="auto"/>
      </w:pPr>
      <w:r>
        <w:rPr>
          <w:rFonts w:hint="eastAsia"/>
        </w:rPr>
        <w:t xml:space="preserve">或授权代表：                        </w:t>
      </w:r>
    </w:p>
    <w:p>
      <w:pPr>
        <w:spacing w:line="480" w:lineRule="auto"/>
      </w:pPr>
      <w:r>
        <w:rPr>
          <w:rFonts w:hint="eastAsia"/>
        </w:rPr>
        <w:t>签字时间：             年       月       日</w:t>
      </w:r>
    </w:p>
    <w:p>
      <w:pPr>
        <w:spacing w:line="480" w:lineRule="auto"/>
      </w:pPr>
      <w:r>
        <w:rPr>
          <w:rFonts w:hint="eastAsia"/>
        </w:rPr>
        <w:t xml:space="preserve">签订地点： </w:t>
      </w:r>
    </w:p>
    <w:p>
      <w:pPr>
        <w:spacing w:line="480" w:lineRule="auto"/>
      </w:pPr>
    </w:p>
    <w:p>
      <w:pPr>
        <w:spacing w:line="480" w:lineRule="auto"/>
      </w:pPr>
    </w:p>
    <w:p>
      <w:pPr>
        <w:spacing w:line="480" w:lineRule="auto"/>
      </w:pPr>
      <w:r>
        <w:rPr>
          <w:rFonts w:hint="eastAsia"/>
        </w:rPr>
        <w:t xml:space="preserve">乙方（盖章）：    </w:t>
      </w:r>
    </w:p>
    <w:p>
      <w:pPr>
        <w:spacing w:line="480" w:lineRule="auto"/>
      </w:pPr>
      <w:r>
        <w:rPr>
          <w:rFonts w:hint="eastAsia"/>
        </w:rPr>
        <w:t>法定代表人：</w:t>
      </w:r>
    </w:p>
    <w:p>
      <w:pPr>
        <w:spacing w:line="480" w:lineRule="auto"/>
      </w:pPr>
      <w:r>
        <w:rPr>
          <w:rFonts w:hint="eastAsia"/>
        </w:rPr>
        <w:t>或授权代表：</w:t>
      </w:r>
    </w:p>
    <w:p>
      <w:pPr>
        <w:spacing w:line="480" w:lineRule="auto"/>
      </w:pPr>
      <w:r>
        <w:rPr>
          <w:rFonts w:hint="eastAsia"/>
        </w:rPr>
        <w:t>签字时间：             年       月       日</w:t>
      </w:r>
    </w:p>
    <w:p>
      <w:pPr>
        <w:adjustRightInd w:val="0"/>
        <w:snapToGrid w:val="0"/>
        <w:spacing w:line="480" w:lineRule="auto"/>
        <w:jc w:val="center"/>
        <w:rPr>
          <w:rFonts w:asciiTheme="minorEastAsia" w:hAnsiTheme="minorEastAsia" w:eastAsiaTheme="minorEastAsia"/>
          <w:szCs w:val="24"/>
        </w:rPr>
        <w:sectPr>
          <w:headerReference r:id="rId9" w:type="default"/>
          <w:type w:val="continuous"/>
          <w:pgSz w:w="11906" w:h="16838"/>
          <w:pgMar w:top="1440" w:right="1080" w:bottom="1440" w:left="1080" w:header="851" w:footer="992" w:gutter="0"/>
          <w:cols w:space="425" w:num="1"/>
          <w:docGrid w:type="lines" w:linePitch="312" w:charSpace="0"/>
        </w:sectPr>
      </w:pPr>
    </w:p>
    <w:p>
      <w:pPr>
        <w:pStyle w:val="57"/>
        <w:keepNext/>
        <w:keepLines/>
        <w:spacing w:before="260" w:after="260" w:line="415" w:lineRule="auto"/>
        <w:ind w:firstLine="137" w:firstLineChars="49"/>
        <w:outlineLvl w:val="2"/>
        <w:rPr>
          <w:rFonts w:ascii="宋体" w:hAnsi="宋体" w:eastAsia="宋体" w:cs="宋体"/>
          <w:bCs/>
          <w:kern w:val="2"/>
          <w:sz w:val="28"/>
          <w:szCs w:val="28"/>
        </w:rPr>
      </w:pPr>
      <w:bookmarkStart w:id="3" w:name="_Toc21049"/>
      <w:r>
        <w:rPr>
          <w:rFonts w:hint="eastAsia" w:ascii="宋体" w:hAnsi="宋体" w:eastAsia="宋体" w:cs="宋体"/>
          <w:bCs/>
          <w:kern w:val="2"/>
          <w:sz w:val="28"/>
          <w:szCs w:val="28"/>
          <w:highlight w:val="white"/>
        </w:rPr>
        <w:t>附件一：开标记录表</w:t>
      </w:r>
      <w:bookmarkEnd w:id="3"/>
    </w:p>
    <w:p>
      <w:pPr>
        <w:pStyle w:val="57"/>
        <w:spacing w:line="400" w:lineRule="exact"/>
        <w:rPr>
          <w:rFonts w:ascii="宋体" w:hAnsi="宋体" w:eastAsia="宋体" w:cs="宋体"/>
          <w:kern w:val="2"/>
          <w:sz w:val="21"/>
          <w:szCs w:val="24"/>
        </w:rPr>
      </w:pPr>
    </w:p>
    <w:p>
      <w:pPr>
        <w:pStyle w:val="57"/>
        <w:spacing w:line="400" w:lineRule="exact"/>
        <w:jc w:val="center"/>
        <w:rPr>
          <w:rFonts w:ascii="宋体" w:hAnsi="宋体" w:eastAsia="宋体" w:cs="宋体"/>
          <w:kern w:val="2"/>
          <w:sz w:val="28"/>
          <w:szCs w:val="28"/>
        </w:rPr>
      </w:pPr>
      <w:r>
        <w:rPr>
          <w:rFonts w:hint="eastAsia" w:ascii="宋体" w:hAnsi="宋体" w:eastAsia="宋体" w:cs="宋体"/>
          <w:kern w:val="2"/>
          <w:sz w:val="28"/>
          <w:szCs w:val="28"/>
          <w:highlight w:val="white"/>
        </w:rPr>
        <w:t>开标记录表</w:t>
      </w:r>
    </w:p>
    <w:p>
      <w:pPr>
        <w:pStyle w:val="57"/>
        <w:spacing w:line="400" w:lineRule="exact"/>
        <w:rPr>
          <w:rFonts w:ascii="宋体" w:hAnsi="宋体" w:eastAsia="宋体" w:cs="宋体"/>
          <w:kern w:val="2"/>
          <w:sz w:val="21"/>
          <w:szCs w:val="24"/>
        </w:rPr>
      </w:pPr>
    </w:p>
    <w:p>
      <w:pPr>
        <w:pStyle w:val="57"/>
        <w:spacing w:line="400" w:lineRule="exact"/>
        <w:ind w:right="420" w:firstLine="3570" w:firstLineChars="1700"/>
        <w:rPr>
          <w:rFonts w:ascii="宋体" w:hAnsi="宋体" w:eastAsia="宋体" w:cs="宋体"/>
          <w:kern w:val="2"/>
          <w:sz w:val="21"/>
          <w:szCs w:val="24"/>
        </w:rPr>
      </w:pPr>
      <w:r>
        <w:rPr>
          <w:rFonts w:hint="eastAsia" w:ascii="宋体" w:hAnsi="宋体" w:eastAsia="宋体" w:cs="宋体"/>
          <w:kern w:val="2"/>
          <w:sz w:val="21"/>
          <w:szCs w:val="24"/>
          <w:highlight w:val="white"/>
        </w:rPr>
        <w:t>开标时间：  年  月  日  时  分</w:t>
      </w:r>
    </w:p>
    <w:p>
      <w:pPr>
        <w:pStyle w:val="57"/>
        <w:spacing w:line="400" w:lineRule="exact"/>
        <w:ind w:right="420" w:firstLine="4515" w:firstLineChars="2150"/>
        <w:rPr>
          <w:rFonts w:ascii="宋体" w:hAnsi="宋体" w:eastAsia="宋体" w:cs="宋体"/>
          <w:kern w:val="2"/>
          <w:sz w:val="21"/>
          <w:szCs w:val="24"/>
        </w:rPr>
      </w:pPr>
    </w:p>
    <w:tbl>
      <w:tblPr>
        <w:tblStyle w:val="24"/>
        <w:tblW w:w="7924" w:type="dxa"/>
        <w:jc w:val="center"/>
        <w:tblLayout w:type="fixed"/>
        <w:tblCellMar>
          <w:top w:w="0" w:type="dxa"/>
          <w:left w:w="108" w:type="dxa"/>
          <w:bottom w:w="0" w:type="dxa"/>
          <w:right w:w="108" w:type="dxa"/>
        </w:tblCellMar>
      </w:tblPr>
      <w:tblGrid>
        <w:gridCol w:w="1120"/>
        <w:gridCol w:w="3214"/>
        <w:gridCol w:w="1418"/>
        <w:gridCol w:w="992"/>
        <w:gridCol w:w="1180"/>
      </w:tblGrid>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highlight w:val="white"/>
              </w:rPr>
              <w:t>序号</w:t>
            </w:r>
          </w:p>
        </w:tc>
        <w:tc>
          <w:tcPr>
            <w:tcW w:w="3214"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highlight w:val="white"/>
              </w:rPr>
              <w:t>投标人</w:t>
            </w:r>
          </w:p>
        </w:tc>
        <w:tc>
          <w:tcPr>
            <w:tcW w:w="1418"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highlight w:val="white"/>
              </w:rPr>
              <w:t>密封情况</w:t>
            </w:r>
          </w:p>
        </w:tc>
        <w:tc>
          <w:tcPr>
            <w:tcW w:w="992"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highlight w:val="white"/>
              </w:rPr>
              <w:t>签名</w:t>
            </w:r>
          </w:p>
        </w:tc>
        <w:tc>
          <w:tcPr>
            <w:tcW w:w="1180"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rPr>
              <w:t>备注</w:t>
            </w: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trHeight w:val="465" w:hRule="atLeast"/>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112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321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418"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99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80"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bl>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4"/>
          <w:highlight w:val="white"/>
        </w:rPr>
        <w:t>　　</w:t>
      </w:r>
      <w:r>
        <w:rPr>
          <w:rFonts w:hint="eastAsia" w:ascii="宋体" w:hAnsi="宋体" w:eastAsia="宋体" w:cs="宋体"/>
          <w:kern w:val="2"/>
          <w:sz w:val="21"/>
          <w:szCs w:val="21"/>
          <w:highlight w:val="white"/>
        </w:rPr>
        <w:t>　</w:t>
      </w:r>
    </w:p>
    <w:p>
      <w:pPr>
        <w:pStyle w:val="57"/>
        <w:spacing w:line="620" w:lineRule="exact"/>
        <w:rPr>
          <w:rFonts w:ascii="宋体" w:hAnsi="宋体" w:eastAsia="宋体" w:cs="宋体"/>
          <w:kern w:val="2"/>
          <w:sz w:val="21"/>
          <w:szCs w:val="21"/>
        </w:rPr>
      </w:pPr>
      <w:r>
        <w:rPr>
          <w:rFonts w:hint="eastAsia" w:ascii="宋体" w:hAnsi="宋体" w:eastAsia="宋体" w:cs="宋体"/>
          <w:kern w:val="2"/>
          <w:sz w:val="21"/>
          <w:szCs w:val="21"/>
          <w:highlight w:val="white"/>
        </w:rPr>
        <w:t>招标人代表： 记录人： 监标人：</w:t>
      </w:r>
    </w:p>
    <w:p>
      <w:pPr>
        <w:wordWrap w:val="0"/>
        <w:spacing w:line="440" w:lineRule="exact"/>
        <w:jc w:val="right"/>
        <w:rPr>
          <w:szCs w:val="32"/>
        </w:rPr>
      </w:pPr>
      <w:r>
        <w:rPr>
          <w:rFonts w:hint="eastAsia"/>
        </w:rPr>
        <w:t>年    月    日</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4"/>
          <w:highlight w:val="white"/>
        </w:rPr>
        <w:br w:type="page"/>
      </w:r>
    </w:p>
    <w:p>
      <w:pPr>
        <w:pStyle w:val="57"/>
        <w:spacing w:line="400" w:lineRule="exact"/>
        <w:jc w:val="center"/>
        <w:rPr>
          <w:rFonts w:ascii="宋体" w:hAnsi="宋体" w:eastAsia="宋体" w:cs="宋体"/>
          <w:kern w:val="2"/>
          <w:sz w:val="28"/>
          <w:szCs w:val="28"/>
        </w:rPr>
      </w:pPr>
      <w:r>
        <w:rPr>
          <w:rFonts w:hint="eastAsia" w:ascii="宋体" w:hAnsi="宋体" w:eastAsia="宋体" w:cs="宋体"/>
          <w:kern w:val="2"/>
          <w:sz w:val="28"/>
          <w:szCs w:val="28"/>
          <w:highlight w:val="white"/>
        </w:rPr>
        <w:t>报价记录表</w:t>
      </w:r>
    </w:p>
    <w:p>
      <w:pPr>
        <w:pStyle w:val="57"/>
        <w:spacing w:line="400" w:lineRule="exact"/>
        <w:rPr>
          <w:rFonts w:ascii="宋体" w:hAnsi="宋体" w:eastAsia="宋体" w:cs="宋体"/>
          <w:kern w:val="2"/>
          <w:sz w:val="21"/>
          <w:szCs w:val="24"/>
        </w:rPr>
      </w:pPr>
    </w:p>
    <w:p>
      <w:pPr>
        <w:pStyle w:val="57"/>
        <w:spacing w:line="400" w:lineRule="exact"/>
        <w:ind w:right="420" w:firstLine="3570" w:firstLineChars="1700"/>
        <w:rPr>
          <w:rFonts w:ascii="宋体" w:hAnsi="宋体" w:eastAsia="宋体" w:cs="宋体"/>
          <w:kern w:val="2"/>
          <w:sz w:val="21"/>
          <w:szCs w:val="24"/>
        </w:rPr>
      </w:pPr>
      <w:r>
        <w:rPr>
          <w:rFonts w:hint="eastAsia" w:ascii="宋体" w:hAnsi="宋体" w:eastAsia="宋体" w:cs="宋体"/>
          <w:kern w:val="2"/>
          <w:sz w:val="21"/>
          <w:szCs w:val="24"/>
          <w:highlight w:val="white"/>
        </w:rPr>
        <w:t>开标时间：年月日时分</w:t>
      </w:r>
    </w:p>
    <w:p>
      <w:pPr>
        <w:pStyle w:val="57"/>
        <w:spacing w:line="400" w:lineRule="exact"/>
        <w:ind w:right="420" w:firstLine="4515" w:firstLineChars="2150"/>
        <w:rPr>
          <w:rFonts w:ascii="宋体" w:hAnsi="宋体" w:eastAsia="宋体" w:cs="宋体"/>
          <w:kern w:val="2"/>
          <w:sz w:val="21"/>
          <w:szCs w:val="24"/>
        </w:rPr>
      </w:pPr>
    </w:p>
    <w:tbl>
      <w:tblPr>
        <w:tblStyle w:val="24"/>
        <w:tblW w:w="0" w:type="auto"/>
        <w:jc w:val="center"/>
        <w:tblLayout w:type="fixed"/>
        <w:tblCellMar>
          <w:top w:w="0" w:type="dxa"/>
          <w:left w:w="108" w:type="dxa"/>
          <w:bottom w:w="0" w:type="dxa"/>
          <w:right w:w="108" w:type="dxa"/>
        </w:tblCellMar>
      </w:tblPr>
      <w:tblGrid>
        <w:gridCol w:w="817"/>
        <w:gridCol w:w="1772"/>
        <w:gridCol w:w="1701"/>
        <w:gridCol w:w="1134"/>
        <w:gridCol w:w="1771"/>
        <w:gridCol w:w="1134"/>
        <w:gridCol w:w="1064"/>
      </w:tblGrid>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highlight w:val="white"/>
              </w:rPr>
              <w:t>序号</w:t>
            </w:r>
          </w:p>
        </w:tc>
        <w:tc>
          <w:tcPr>
            <w:tcW w:w="1772"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highlight w:val="white"/>
              </w:rPr>
              <w:t>投标人</w:t>
            </w:r>
          </w:p>
        </w:tc>
        <w:tc>
          <w:tcPr>
            <w:tcW w:w="1701"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rPr>
              <w:t>基础咨询服务费报价（万元）</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sz w:val="18"/>
                <w:szCs w:val="18"/>
              </w:rPr>
            </w:pPr>
            <w:r>
              <w:rPr>
                <w:rFonts w:hint="eastAsia"/>
                <w:sz w:val="18"/>
                <w:szCs w:val="18"/>
              </w:rPr>
              <w:t>投顾服务费上限（万元）</w:t>
            </w:r>
          </w:p>
        </w:tc>
        <w:tc>
          <w:tcPr>
            <w:tcW w:w="1771"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rPr>
                <w:rFonts w:ascii="宋体" w:hAnsi="宋体" w:eastAsia="宋体" w:cs="宋体"/>
                <w:kern w:val="2"/>
                <w:sz w:val="18"/>
                <w:szCs w:val="18"/>
              </w:rPr>
            </w:pPr>
            <w:r>
              <w:rPr>
                <w:rFonts w:hint="eastAsia" w:ascii="宋体" w:hAnsi="宋体" w:eastAsia="宋体" w:cs="宋体"/>
                <w:sz w:val="18"/>
                <w:szCs w:val="18"/>
              </w:rPr>
              <w:t>投顾服务费下限（万元）</w:t>
            </w:r>
          </w:p>
        </w:tc>
        <w:tc>
          <w:tcPr>
            <w:tcW w:w="1134"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rPr>
              <w:t>项目投顾服务费费率</w:t>
            </w:r>
          </w:p>
        </w:tc>
        <w:tc>
          <w:tcPr>
            <w:tcW w:w="1064" w:type="dxa"/>
            <w:tcBorders>
              <w:top w:val="single" w:color="auto" w:sz="4" w:space="0"/>
              <w:left w:val="single" w:color="auto" w:sz="4" w:space="0"/>
              <w:bottom w:val="single" w:color="auto" w:sz="4" w:space="0"/>
              <w:right w:val="single" w:color="auto" w:sz="4" w:space="0"/>
            </w:tcBorders>
            <w:vAlign w:val="center"/>
          </w:tcPr>
          <w:p>
            <w:pPr>
              <w:pStyle w:val="57"/>
              <w:spacing w:line="500" w:lineRule="exact"/>
              <w:jc w:val="center"/>
              <w:rPr>
                <w:rFonts w:ascii="宋体" w:hAnsi="宋体" w:eastAsia="宋体" w:cs="宋体"/>
                <w:kern w:val="2"/>
                <w:sz w:val="18"/>
                <w:szCs w:val="18"/>
              </w:rPr>
            </w:pPr>
            <w:r>
              <w:rPr>
                <w:rFonts w:hint="eastAsia" w:ascii="宋体" w:hAnsi="宋体" w:eastAsia="宋体" w:cs="宋体"/>
                <w:kern w:val="2"/>
                <w:sz w:val="18"/>
                <w:szCs w:val="18"/>
              </w:rPr>
              <w:t>签名</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trHeight w:val="465" w:hRule="atLeast"/>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2"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0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771"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13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c>
          <w:tcPr>
            <w:tcW w:w="1064" w:type="dxa"/>
            <w:tcBorders>
              <w:top w:val="single" w:color="auto" w:sz="4" w:space="0"/>
              <w:left w:val="single" w:color="auto" w:sz="4" w:space="0"/>
              <w:bottom w:val="single" w:color="auto" w:sz="4" w:space="0"/>
              <w:right w:val="single" w:color="auto" w:sz="4" w:space="0"/>
            </w:tcBorders>
          </w:tcPr>
          <w:p>
            <w:pPr>
              <w:pStyle w:val="57"/>
              <w:spacing w:line="500" w:lineRule="exact"/>
              <w:jc w:val="left"/>
              <w:rPr>
                <w:rFonts w:ascii="宋体" w:hAnsi="宋体" w:eastAsia="宋体" w:cs="宋体"/>
                <w:kern w:val="2"/>
                <w:sz w:val="21"/>
                <w:szCs w:val="21"/>
              </w:rPr>
            </w:pPr>
          </w:p>
        </w:tc>
      </w:tr>
    </w:tbl>
    <w:p>
      <w:pPr>
        <w:spacing w:line="320" w:lineRule="exact"/>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4"/>
          <w:highlight w:val="white"/>
        </w:rPr>
        <w:t>　　</w:t>
      </w:r>
      <w:r>
        <w:rPr>
          <w:rFonts w:hint="eastAsia" w:ascii="宋体" w:hAnsi="宋体" w:eastAsia="宋体" w:cs="宋体"/>
          <w:kern w:val="2"/>
          <w:sz w:val="21"/>
          <w:szCs w:val="21"/>
          <w:highlight w:val="white"/>
        </w:rPr>
        <w:t>　</w:t>
      </w:r>
    </w:p>
    <w:p>
      <w:pPr>
        <w:pStyle w:val="57"/>
        <w:spacing w:line="620" w:lineRule="exact"/>
        <w:rPr>
          <w:rFonts w:ascii="宋体" w:hAnsi="宋体" w:eastAsia="宋体" w:cs="宋体"/>
          <w:kern w:val="2"/>
          <w:sz w:val="21"/>
          <w:szCs w:val="21"/>
        </w:rPr>
      </w:pPr>
      <w:r>
        <w:rPr>
          <w:rFonts w:hint="eastAsia" w:ascii="宋体" w:hAnsi="宋体" w:eastAsia="宋体" w:cs="宋体"/>
          <w:kern w:val="2"/>
          <w:sz w:val="21"/>
          <w:szCs w:val="21"/>
          <w:highlight w:val="white"/>
        </w:rPr>
        <w:t>招标人代表： 记录人： 监标人：</w:t>
      </w:r>
    </w:p>
    <w:p>
      <w:pPr>
        <w:wordWrap w:val="0"/>
        <w:spacing w:line="440" w:lineRule="exact"/>
        <w:jc w:val="right"/>
        <w:rPr>
          <w:szCs w:val="32"/>
        </w:rPr>
      </w:pPr>
      <w:r>
        <w:rPr>
          <w:rFonts w:hint="eastAsia"/>
        </w:rPr>
        <w:t>年    月    日</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4"/>
          <w:highlight w:val="white"/>
        </w:rPr>
        <w:br w:type="page"/>
      </w:r>
    </w:p>
    <w:p>
      <w:pPr>
        <w:pStyle w:val="57"/>
        <w:keepNext/>
        <w:keepLines/>
        <w:spacing w:before="260" w:after="260" w:line="415" w:lineRule="auto"/>
        <w:ind w:firstLine="137" w:firstLineChars="49"/>
        <w:outlineLvl w:val="2"/>
        <w:rPr>
          <w:rFonts w:ascii="宋体" w:hAnsi="宋体" w:eastAsia="宋体" w:cs="宋体"/>
          <w:bCs/>
          <w:kern w:val="2"/>
          <w:sz w:val="28"/>
          <w:szCs w:val="28"/>
        </w:rPr>
      </w:pPr>
      <w:bookmarkStart w:id="4" w:name="_Toc21689"/>
      <w:r>
        <w:rPr>
          <w:rFonts w:hint="eastAsia" w:ascii="宋体" w:hAnsi="宋体" w:eastAsia="宋体" w:cs="宋体"/>
          <w:bCs/>
          <w:kern w:val="2"/>
          <w:sz w:val="28"/>
          <w:szCs w:val="28"/>
          <w:highlight w:val="white"/>
        </w:rPr>
        <w:t>附件二：问题澄清通知</w:t>
      </w:r>
      <w:bookmarkEnd w:id="4"/>
    </w:p>
    <w:p>
      <w:pPr>
        <w:pStyle w:val="57"/>
        <w:spacing w:line="440" w:lineRule="exact"/>
        <w:jc w:val="center"/>
        <w:rPr>
          <w:rFonts w:ascii="宋体" w:hAnsi="宋体" w:eastAsia="宋体" w:cs="宋体"/>
          <w:kern w:val="2"/>
          <w:sz w:val="21"/>
          <w:szCs w:val="21"/>
        </w:rPr>
      </w:pPr>
    </w:p>
    <w:p>
      <w:pPr>
        <w:pStyle w:val="57"/>
        <w:spacing w:line="440" w:lineRule="exact"/>
        <w:jc w:val="center"/>
        <w:rPr>
          <w:rFonts w:ascii="宋体" w:hAnsi="宋体" w:eastAsia="宋体" w:cs="宋体"/>
          <w:kern w:val="2"/>
          <w:sz w:val="28"/>
          <w:szCs w:val="28"/>
        </w:rPr>
      </w:pPr>
      <w:r>
        <w:rPr>
          <w:rFonts w:hint="eastAsia" w:ascii="宋体" w:hAnsi="宋体" w:eastAsia="宋体" w:cs="宋体"/>
          <w:kern w:val="2"/>
          <w:sz w:val="28"/>
          <w:szCs w:val="28"/>
          <w:highlight w:val="white"/>
        </w:rPr>
        <w:t>问题澄清通知</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xml:space="preserve">                               编号：</w:t>
      </w: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（投标人名称）：</w:t>
      </w: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xml:space="preserve">　　  </w:t>
      </w:r>
      <w:r>
        <w:rPr>
          <w:rFonts w:hint="eastAsia" w:ascii="宋体" w:hAnsi="宋体" w:eastAsia="宋体" w:cs="宋体"/>
          <w:kern w:val="2"/>
          <w:sz w:val="21"/>
          <w:szCs w:val="21"/>
          <w:highlight w:val="white"/>
          <w:u w:val="single"/>
        </w:rPr>
        <w:t xml:space="preserve">　             </w:t>
      </w:r>
      <w:r>
        <w:rPr>
          <w:rFonts w:hint="eastAsia" w:ascii="宋体" w:hAnsi="宋体" w:eastAsia="宋体" w:cs="宋体"/>
          <w:kern w:val="2"/>
          <w:sz w:val="21"/>
          <w:szCs w:val="21"/>
          <w:highlight w:val="white"/>
        </w:rPr>
        <w:t>（项目名称）招标的评标委员会，对你方的投标文件进行了仔细的审查，现需你方对下列问题以书面形式予以澄清：</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xml:space="preserve">    1.</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xml:space="preserve">    2.</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xml:space="preserve">     ......   </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请将上述问题的澄清于年月日时前递交至（详细地址）或传真至（传真号码）。采用传真方式的，应在年月日时前将原件递交至（详细地址）。</w:t>
      </w: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xml:space="preserve">                             评标委员会授权的招标人或招标代理机构：（签字或盖章）</w:t>
      </w:r>
    </w:p>
    <w:p>
      <w:pPr>
        <w:pStyle w:val="57"/>
        <w:spacing w:line="440" w:lineRule="exact"/>
        <w:rPr>
          <w:rFonts w:ascii="宋体" w:hAnsi="宋体" w:eastAsia="宋体" w:cs="宋体"/>
          <w:kern w:val="2"/>
          <w:sz w:val="21"/>
          <w:szCs w:val="21"/>
        </w:rPr>
      </w:pPr>
    </w:p>
    <w:p>
      <w:pPr>
        <w:wordWrap w:val="0"/>
        <w:spacing w:line="440" w:lineRule="exact"/>
        <w:jc w:val="right"/>
        <w:rPr>
          <w:szCs w:val="32"/>
        </w:rPr>
      </w:pPr>
      <w:r>
        <w:rPr>
          <w:rFonts w:hint="eastAsia"/>
        </w:rPr>
        <w:t>年    月    日</w:t>
      </w:r>
    </w:p>
    <w:p>
      <w:pPr>
        <w:pStyle w:val="57"/>
        <w:spacing w:line="400" w:lineRule="exact"/>
        <w:rPr>
          <w:rFonts w:ascii="宋体" w:hAnsi="宋体" w:eastAsia="宋体" w:cs="宋体"/>
          <w:kern w:val="2"/>
          <w:sz w:val="21"/>
          <w:szCs w:val="24"/>
        </w:rPr>
      </w:pPr>
    </w:p>
    <w:p>
      <w:pPr>
        <w:pStyle w:val="57"/>
        <w:spacing w:line="400" w:lineRule="exact"/>
        <w:rPr>
          <w:rFonts w:ascii="宋体" w:hAnsi="宋体" w:eastAsia="宋体" w:cs="宋体"/>
          <w:kern w:val="2"/>
          <w:sz w:val="21"/>
          <w:szCs w:val="24"/>
        </w:rPr>
      </w:pPr>
      <w:r>
        <w:rPr>
          <w:rFonts w:hint="eastAsia" w:ascii="宋体" w:hAnsi="宋体" w:eastAsia="宋体" w:cs="宋体"/>
          <w:kern w:val="2"/>
          <w:sz w:val="21"/>
          <w:szCs w:val="24"/>
          <w:highlight w:val="white"/>
        </w:rPr>
        <w:br w:type="page"/>
      </w:r>
    </w:p>
    <w:p>
      <w:pPr>
        <w:pStyle w:val="57"/>
        <w:keepNext/>
        <w:keepLines/>
        <w:spacing w:before="260" w:after="260" w:line="415" w:lineRule="auto"/>
        <w:ind w:firstLine="137" w:firstLineChars="49"/>
        <w:outlineLvl w:val="2"/>
        <w:rPr>
          <w:rFonts w:ascii="宋体" w:hAnsi="宋体" w:eastAsia="宋体" w:cs="宋体"/>
          <w:bCs/>
          <w:kern w:val="2"/>
          <w:sz w:val="28"/>
          <w:szCs w:val="28"/>
        </w:rPr>
      </w:pPr>
      <w:bookmarkStart w:id="5" w:name="_Toc8002"/>
      <w:r>
        <w:rPr>
          <w:rFonts w:hint="eastAsia" w:ascii="宋体" w:hAnsi="宋体" w:eastAsia="宋体" w:cs="宋体"/>
          <w:bCs/>
          <w:kern w:val="2"/>
          <w:sz w:val="28"/>
          <w:szCs w:val="28"/>
          <w:highlight w:val="white"/>
        </w:rPr>
        <w:t>附件三：问题的澄清</w:t>
      </w:r>
      <w:bookmarkEnd w:id="5"/>
    </w:p>
    <w:p>
      <w:pPr>
        <w:pStyle w:val="57"/>
        <w:spacing w:line="400" w:lineRule="exact"/>
        <w:jc w:val="center"/>
        <w:rPr>
          <w:rFonts w:ascii="宋体" w:hAnsi="宋体" w:eastAsia="宋体" w:cs="宋体"/>
          <w:kern w:val="2"/>
          <w:sz w:val="28"/>
          <w:szCs w:val="28"/>
        </w:rPr>
      </w:pPr>
    </w:p>
    <w:p>
      <w:pPr>
        <w:pStyle w:val="57"/>
        <w:spacing w:line="400" w:lineRule="exact"/>
        <w:jc w:val="center"/>
        <w:rPr>
          <w:rFonts w:ascii="宋体" w:hAnsi="宋体" w:eastAsia="宋体" w:cs="宋体"/>
          <w:kern w:val="2"/>
          <w:sz w:val="28"/>
          <w:szCs w:val="28"/>
        </w:rPr>
      </w:pPr>
      <w:r>
        <w:rPr>
          <w:rFonts w:hint="eastAsia" w:ascii="宋体" w:hAnsi="宋体" w:eastAsia="宋体" w:cs="宋体"/>
          <w:kern w:val="2"/>
          <w:sz w:val="28"/>
          <w:szCs w:val="28"/>
          <w:highlight w:val="white"/>
        </w:rPr>
        <w:t>问题的澄清</w:t>
      </w:r>
    </w:p>
    <w:p>
      <w:pPr>
        <w:pStyle w:val="57"/>
        <w:spacing w:line="400" w:lineRule="exact"/>
        <w:ind w:firstLine="3465" w:firstLineChars="1650"/>
        <w:rPr>
          <w:rFonts w:ascii="宋体" w:hAnsi="宋体" w:eastAsia="宋体" w:cs="宋体"/>
          <w:kern w:val="2"/>
          <w:sz w:val="21"/>
          <w:szCs w:val="24"/>
        </w:rPr>
      </w:pPr>
      <w:r>
        <w:rPr>
          <w:rFonts w:hint="eastAsia" w:ascii="宋体" w:hAnsi="宋体" w:eastAsia="宋体" w:cs="宋体"/>
          <w:kern w:val="2"/>
          <w:sz w:val="21"/>
          <w:szCs w:val="24"/>
          <w:highlight w:val="white"/>
        </w:rPr>
        <w:t xml:space="preserve">编号： </w:t>
      </w:r>
    </w:p>
    <w:p>
      <w:pPr>
        <w:pStyle w:val="57"/>
        <w:spacing w:line="40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（项目名称）招标评标委员会：</w:t>
      </w: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问题澄清通知（编号：）已收悉，现澄清如下：</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1.</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2.</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w:t>
      </w: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xml:space="preserve">　 </w:t>
      </w: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投标人：（盖单位章）</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法定代表人或其委托代理人：（签字）</w:t>
      </w:r>
    </w:p>
    <w:p>
      <w:pPr>
        <w:pStyle w:val="57"/>
        <w:spacing w:line="440" w:lineRule="exact"/>
        <w:rPr>
          <w:rFonts w:ascii="宋体" w:hAnsi="宋体" w:eastAsia="宋体" w:cs="宋体"/>
          <w:kern w:val="2"/>
          <w:sz w:val="21"/>
          <w:szCs w:val="21"/>
        </w:rPr>
      </w:pPr>
      <w:r>
        <w:rPr>
          <w:rFonts w:hint="eastAsia" w:ascii="宋体" w:hAnsi="宋体" w:eastAsia="宋体" w:cs="宋体"/>
          <w:kern w:val="2"/>
          <w:sz w:val="21"/>
          <w:szCs w:val="21"/>
          <w:highlight w:val="white"/>
        </w:rPr>
        <w:t>　　　　　　　　　　　　　　　</w:t>
      </w:r>
    </w:p>
    <w:p>
      <w:pPr>
        <w:wordWrap w:val="0"/>
        <w:spacing w:line="440" w:lineRule="exact"/>
        <w:jc w:val="right"/>
        <w:rPr>
          <w:szCs w:val="32"/>
        </w:rPr>
      </w:pPr>
      <w:r>
        <w:rPr>
          <w:rFonts w:hint="eastAsia"/>
        </w:rPr>
        <w:t>年    月    日</w:t>
      </w:r>
    </w:p>
    <w:p>
      <w:pPr>
        <w:pStyle w:val="57"/>
        <w:spacing w:line="400" w:lineRule="exact"/>
        <w:rPr>
          <w:rFonts w:ascii="宋体" w:hAnsi="宋体" w:eastAsia="宋体" w:cs="宋体"/>
          <w:kern w:val="2"/>
          <w:sz w:val="21"/>
          <w:szCs w:val="24"/>
        </w:rPr>
      </w:pPr>
    </w:p>
    <w:p>
      <w:pPr>
        <w:pStyle w:val="57"/>
        <w:spacing w:line="400" w:lineRule="exact"/>
        <w:rPr>
          <w:rFonts w:ascii="宋体" w:hAnsi="宋体" w:eastAsia="宋体" w:cs="宋体"/>
          <w:kern w:val="2"/>
          <w:sz w:val="21"/>
          <w:szCs w:val="24"/>
        </w:rPr>
      </w:pPr>
      <w:r>
        <w:rPr>
          <w:rFonts w:hint="eastAsia" w:ascii="宋体" w:hAnsi="宋体" w:eastAsia="宋体" w:cs="宋体"/>
          <w:kern w:val="2"/>
          <w:sz w:val="21"/>
          <w:szCs w:val="24"/>
          <w:highlight w:val="white"/>
        </w:rPr>
        <w:br w:type="page"/>
      </w:r>
    </w:p>
    <w:p>
      <w:pPr>
        <w:pStyle w:val="57"/>
        <w:keepNext/>
        <w:keepLines/>
        <w:spacing w:before="260" w:after="260" w:line="415" w:lineRule="auto"/>
        <w:ind w:firstLine="137" w:firstLineChars="49"/>
        <w:outlineLvl w:val="2"/>
        <w:rPr>
          <w:rFonts w:ascii="宋体" w:hAnsi="宋体" w:eastAsia="宋体" w:cs="宋体"/>
          <w:bCs/>
          <w:kern w:val="2"/>
          <w:sz w:val="28"/>
          <w:szCs w:val="28"/>
        </w:rPr>
      </w:pPr>
      <w:bookmarkStart w:id="6" w:name="_Toc29051"/>
      <w:r>
        <w:rPr>
          <w:rFonts w:hint="eastAsia" w:ascii="宋体" w:hAnsi="宋体" w:eastAsia="宋体" w:cs="宋体"/>
          <w:bCs/>
          <w:kern w:val="2"/>
          <w:sz w:val="28"/>
          <w:szCs w:val="28"/>
          <w:highlight w:val="white"/>
        </w:rPr>
        <w:t>附件四：中标通知书</w:t>
      </w:r>
      <w:bookmarkEnd w:id="6"/>
    </w:p>
    <w:p>
      <w:pPr>
        <w:pStyle w:val="57"/>
        <w:spacing w:line="400" w:lineRule="exact"/>
        <w:rPr>
          <w:rFonts w:ascii="宋体" w:hAnsi="宋体" w:eastAsia="宋体" w:cs="宋体"/>
          <w:kern w:val="2"/>
          <w:sz w:val="21"/>
          <w:szCs w:val="24"/>
        </w:rPr>
      </w:pPr>
    </w:p>
    <w:p>
      <w:pPr>
        <w:spacing w:line="400" w:lineRule="exact"/>
        <w:jc w:val="center"/>
        <w:rPr>
          <w:rFonts w:ascii="黑体" w:eastAsia="黑体"/>
          <w:sz w:val="28"/>
          <w:szCs w:val="28"/>
        </w:rPr>
      </w:pPr>
      <w:r>
        <w:rPr>
          <w:rFonts w:hint="eastAsia" w:ascii="黑体" w:eastAsia="黑体"/>
          <w:sz w:val="28"/>
          <w:szCs w:val="28"/>
        </w:rPr>
        <w:t>中标通知书</w:t>
      </w:r>
    </w:p>
    <w:p>
      <w:pPr>
        <w:spacing w:line="400" w:lineRule="exact"/>
        <w:rPr>
          <w:szCs w:val="24"/>
        </w:rPr>
      </w:pPr>
    </w:p>
    <w:p>
      <w:pPr>
        <w:spacing w:line="440" w:lineRule="exact"/>
      </w:pPr>
      <w:r>
        <w:rPr>
          <w:rFonts w:hint="eastAsia"/>
        </w:rPr>
        <w:t>（中标人名称）：</w:t>
      </w:r>
    </w:p>
    <w:p>
      <w:pPr>
        <w:spacing w:line="440" w:lineRule="exact"/>
      </w:pPr>
    </w:p>
    <w:p>
      <w:pPr>
        <w:spacing w:line="440" w:lineRule="exact"/>
      </w:pPr>
      <w:r>
        <w:rPr>
          <w:rFonts w:hint="eastAsia"/>
        </w:rPr>
        <w:t>　　你方于（投标日期）所递交的（项目名称）投标文件已被我方接受，被确定为中标人。</w:t>
      </w:r>
    </w:p>
    <w:p>
      <w:pPr>
        <w:spacing w:line="440" w:lineRule="exact"/>
      </w:pPr>
      <w:r>
        <w:rPr>
          <w:rFonts w:hint="eastAsia"/>
        </w:rPr>
        <w:t>　　基础咨询服务费中标价：元。</w:t>
      </w:r>
    </w:p>
    <w:p>
      <w:pPr>
        <w:spacing w:line="440" w:lineRule="exact"/>
        <w:ind w:firstLine="465"/>
      </w:pPr>
      <w:r>
        <w:rPr>
          <w:rFonts w:hint="eastAsia"/>
        </w:rPr>
        <w:t>投顾咨询服务费上限：元。</w:t>
      </w:r>
    </w:p>
    <w:p>
      <w:pPr>
        <w:spacing w:line="440" w:lineRule="exact"/>
        <w:ind w:firstLine="465"/>
      </w:pPr>
      <w:r>
        <w:rPr>
          <w:rFonts w:hint="eastAsia"/>
        </w:rPr>
        <w:t>投顾咨询服务费下限：元。</w:t>
      </w:r>
    </w:p>
    <w:p>
      <w:pPr>
        <w:spacing w:line="440" w:lineRule="exact"/>
        <w:ind w:firstLine="465"/>
      </w:pPr>
      <w:r>
        <w:rPr>
          <w:rFonts w:hint="eastAsia"/>
        </w:rPr>
        <w:t>投顾咨询服务费费率：%。</w:t>
      </w:r>
    </w:p>
    <w:p>
      <w:pPr>
        <w:spacing w:line="440" w:lineRule="exact"/>
        <w:ind w:firstLine="420"/>
      </w:pPr>
      <w:r>
        <w:rPr>
          <w:rFonts w:hint="eastAsia"/>
        </w:rPr>
        <w:t>请你方在接到本通知书后的日内到（指定地点）与我方签订合同。</w:t>
      </w:r>
    </w:p>
    <w:p>
      <w:pPr>
        <w:spacing w:line="440" w:lineRule="exact"/>
        <w:ind w:firstLine="420"/>
      </w:pPr>
      <w:r>
        <w:rPr>
          <w:rFonts w:hint="eastAsia"/>
        </w:rPr>
        <w:t>随附的澄清、说明、补正事项纪要，是本中标通知书的组成部分。</w:t>
      </w:r>
    </w:p>
    <w:p>
      <w:pPr>
        <w:spacing w:line="440" w:lineRule="exact"/>
      </w:pPr>
      <w:r>
        <w:rPr>
          <w:rFonts w:hint="eastAsia"/>
        </w:rPr>
        <w:t>　　特此通知。</w:t>
      </w:r>
    </w:p>
    <w:p>
      <w:pPr>
        <w:spacing w:line="440" w:lineRule="exact"/>
        <w:ind w:firstLine="480" w:firstLineChars="200"/>
      </w:pPr>
      <w:r>
        <w:rPr>
          <w:rFonts w:hint="eastAsia"/>
        </w:rPr>
        <w:t>附：澄清、说明、补正事项纪要</w:t>
      </w:r>
    </w:p>
    <w:p>
      <w:pPr>
        <w:spacing w:line="440" w:lineRule="exact"/>
      </w:pPr>
    </w:p>
    <w:p>
      <w:pPr>
        <w:spacing w:line="440" w:lineRule="exact"/>
      </w:pPr>
    </w:p>
    <w:p>
      <w:pPr>
        <w:spacing w:line="540" w:lineRule="exact"/>
        <w:ind w:firstLine="3700" w:firstLineChars="1542"/>
      </w:pPr>
      <w:r>
        <w:rPr>
          <w:rFonts w:hint="eastAsia"/>
        </w:rPr>
        <w:t>招标人：（盖单位章）</w:t>
      </w:r>
    </w:p>
    <w:p>
      <w:pPr>
        <w:spacing w:line="540" w:lineRule="exact"/>
        <w:ind w:firstLine="3700" w:firstLineChars="1542"/>
      </w:pPr>
      <w:r>
        <w:rPr>
          <w:rFonts w:hint="eastAsia"/>
        </w:rPr>
        <w:t>法定代表人：（签字）</w:t>
      </w:r>
    </w:p>
    <w:p>
      <w:pPr>
        <w:wordWrap w:val="0"/>
        <w:spacing w:line="440" w:lineRule="exact"/>
        <w:jc w:val="right"/>
        <w:rPr>
          <w:szCs w:val="32"/>
        </w:rPr>
      </w:pPr>
      <w:r>
        <w:rPr>
          <w:rFonts w:hint="eastAsia"/>
        </w:rPr>
        <w:t>年    月    日</w:t>
      </w:r>
    </w:p>
    <w:p>
      <w:pPr>
        <w:pStyle w:val="57"/>
        <w:spacing w:line="400" w:lineRule="exact"/>
        <w:rPr>
          <w:rFonts w:ascii="宋体" w:hAnsi="宋体" w:eastAsia="宋体" w:cs="宋体"/>
          <w:kern w:val="2"/>
          <w:sz w:val="21"/>
          <w:szCs w:val="24"/>
        </w:rPr>
      </w:pPr>
    </w:p>
    <w:p>
      <w:pPr>
        <w:pStyle w:val="57"/>
        <w:spacing w:line="400" w:lineRule="exact"/>
        <w:rPr>
          <w:rFonts w:ascii="宋体" w:hAnsi="宋体" w:eastAsia="宋体" w:cs="宋体"/>
          <w:kern w:val="2"/>
          <w:sz w:val="21"/>
          <w:szCs w:val="24"/>
        </w:rPr>
      </w:pPr>
      <w:r>
        <w:rPr>
          <w:rFonts w:hint="eastAsia" w:ascii="宋体" w:hAnsi="宋体" w:eastAsia="宋体" w:cs="宋体"/>
          <w:kern w:val="2"/>
          <w:sz w:val="21"/>
          <w:szCs w:val="24"/>
          <w:highlight w:val="white"/>
        </w:rPr>
        <w:br w:type="page"/>
      </w:r>
    </w:p>
    <w:p>
      <w:pPr>
        <w:pStyle w:val="57"/>
        <w:keepNext/>
        <w:keepLines/>
        <w:spacing w:before="260" w:after="260" w:line="415" w:lineRule="auto"/>
        <w:ind w:firstLine="137" w:firstLineChars="49"/>
        <w:outlineLvl w:val="2"/>
        <w:rPr>
          <w:rFonts w:ascii="宋体" w:hAnsi="宋体" w:eastAsia="宋体" w:cs="宋体"/>
          <w:bCs/>
          <w:kern w:val="2"/>
          <w:sz w:val="28"/>
          <w:szCs w:val="28"/>
        </w:rPr>
      </w:pPr>
      <w:bookmarkStart w:id="7" w:name="_Toc11650"/>
      <w:r>
        <w:rPr>
          <w:rFonts w:hint="eastAsia" w:ascii="宋体" w:hAnsi="宋体" w:eastAsia="宋体" w:cs="宋体"/>
          <w:bCs/>
          <w:kern w:val="2"/>
          <w:sz w:val="28"/>
          <w:szCs w:val="28"/>
          <w:highlight w:val="white"/>
        </w:rPr>
        <w:t>附件五：中标结果通知书</w:t>
      </w:r>
      <w:bookmarkEnd w:id="7"/>
    </w:p>
    <w:p>
      <w:pPr>
        <w:pStyle w:val="57"/>
        <w:spacing w:line="400" w:lineRule="exact"/>
        <w:rPr>
          <w:rFonts w:ascii="宋体" w:hAnsi="宋体" w:eastAsia="宋体" w:cs="宋体"/>
          <w:kern w:val="2"/>
          <w:sz w:val="21"/>
          <w:szCs w:val="24"/>
        </w:rPr>
      </w:pPr>
    </w:p>
    <w:p>
      <w:pPr>
        <w:spacing w:line="400" w:lineRule="exact"/>
        <w:jc w:val="center"/>
        <w:rPr>
          <w:rFonts w:ascii="黑体" w:eastAsia="黑体"/>
          <w:sz w:val="28"/>
          <w:szCs w:val="28"/>
        </w:rPr>
      </w:pPr>
      <w:r>
        <w:rPr>
          <w:rFonts w:hint="eastAsia" w:ascii="黑体" w:eastAsia="黑体"/>
          <w:sz w:val="28"/>
          <w:szCs w:val="28"/>
        </w:rPr>
        <w:t>中标结果通知书</w:t>
      </w:r>
    </w:p>
    <w:p>
      <w:pPr>
        <w:spacing w:line="400" w:lineRule="exact"/>
        <w:rPr>
          <w:szCs w:val="24"/>
        </w:rPr>
      </w:pPr>
    </w:p>
    <w:p>
      <w:pPr>
        <w:spacing w:line="440" w:lineRule="exact"/>
      </w:pPr>
      <w:r>
        <w:rPr>
          <w:rFonts w:hint="eastAsia"/>
        </w:rPr>
        <w:t>（未中标人名称）：</w:t>
      </w:r>
    </w:p>
    <w:p>
      <w:pPr>
        <w:spacing w:line="440" w:lineRule="exact"/>
      </w:pPr>
    </w:p>
    <w:p>
      <w:pPr>
        <w:spacing w:line="440" w:lineRule="exact"/>
        <w:ind w:firstLine="420"/>
      </w:pPr>
      <w:r>
        <w:rPr>
          <w:rFonts w:hint="eastAsia"/>
        </w:rPr>
        <w:t>我方已接受（中标人名称）于（投标日期）所递交的（项目名称）的投标文件，确定（中标人名称）为中标人。</w:t>
      </w:r>
    </w:p>
    <w:p>
      <w:pPr>
        <w:spacing w:line="440" w:lineRule="exact"/>
      </w:pPr>
      <w:r>
        <w:rPr>
          <w:rFonts w:hint="eastAsia"/>
        </w:rPr>
        <w:t>　　感谢你单位对我们工作的大力支持！</w:t>
      </w:r>
    </w:p>
    <w:p>
      <w:pPr>
        <w:spacing w:line="440" w:lineRule="exact"/>
      </w:pPr>
    </w:p>
    <w:p>
      <w:pPr>
        <w:spacing w:line="440" w:lineRule="exact"/>
      </w:pPr>
    </w:p>
    <w:p>
      <w:pPr>
        <w:spacing w:line="440" w:lineRule="exact"/>
      </w:pPr>
    </w:p>
    <w:p>
      <w:pPr>
        <w:spacing w:line="440" w:lineRule="exact"/>
      </w:pPr>
      <w:r>
        <w:rPr>
          <w:rFonts w:hint="eastAsia"/>
        </w:rPr>
        <w:t>招标人：（盖单位章）</w:t>
      </w:r>
    </w:p>
    <w:p>
      <w:pPr>
        <w:spacing w:line="440" w:lineRule="exact"/>
      </w:pPr>
    </w:p>
    <w:p>
      <w:pPr>
        <w:spacing w:line="440" w:lineRule="exact"/>
      </w:pPr>
      <w:r>
        <w:rPr>
          <w:rFonts w:hint="eastAsia"/>
        </w:rPr>
        <w:t>法定代表人：（签字）</w:t>
      </w:r>
    </w:p>
    <w:p>
      <w:pPr>
        <w:spacing w:line="440" w:lineRule="exact"/>
      </w:pPr>
    </w:p>
    <w:p>
      <w:pPr>
        <w:wordWrap w:val="0"/>
        <w:spacing w:line="440" w:lineRule="exact"/>
        <w:jc w:val="right"/>
        <w:rPr>
          <w:szCs w:val="32"/>
        </w:rPr>
      </w:pPr>
      <w:r>
        <w:rPr>
          <w:rFonts w:hint="eastAsia"/>
        </w:rPr>
        <w:t>年    月    日</w:t>
      </w:r>
    </w:p>
    <w:p>
      <w:pPr>
        <w:pStyle w:val="57"/>
        <w:spacing w:line="400" w:lineRule="exact"/>
        <w:rPr>
          <w:rFonts w:ascii="宋体" w:hAnsi="宋体" w:eastAsia="宋体" w:cs="宋体"/>
          <w:kern w:val="2"/>
          <w:sz w:val="21"/>
          <w:szCs w:val="24"/>
        </w:rPr>
      </w:pPr>
    </w:p>
    <w:p>
      <w:pPr>
        <w:pStyle w:val="57"/>
        <w:spacing w:line="400" w:lineRule="exact"/>
        <w:rPr>
          <w:rFonts w:ascii="宋体" w:hAnsi="宋体" w:eastAsia="宋体" w:cs="宋体"/>
          <w:kern w:val="2"/>
          <w:sz w:val="21"/>
          <w:szCs w:val="24"/>
        </w:rPr>
      </w:pPr>
      <w:r>
        <w:rPr>
          <w:rFonts w:hint="eastAsia" w:ascii="宋体" w:hAnsi="宋体" w:eastAsia="宋体" w:cs="宋体"/>
          <w:kern w:val="2"/>
          <w:sz w:val="21"/>
          <w:szCs w:val="24"/>
          <w:highlight w:val="white"/>
        </w:rPr>
        <w:br w:type="page"/>
      </w:r>
    </w:p>
    <w:p>
      <w:pPr>
        <w:pStyle w:val="57"/>
        <w:keepNext/>
        <w:keepLines/>
        <w:spacing w:before="260" w:after="260" w:line="415" w:lineRule="auto"/>
        <w:ind w:firstLine="137" w:firstLineChars="49"/>
        <w:outlineLvl w:val="2"/>
        <w:rPr>
          <w:rFonts w:ascii="宋体" w:hAnsi="宋体" w:eastAsia="宋体" w:cs="宋体"/>
          <w:bCs/>
          <w:kern w:val="2"/>
          <w:sz w:val="28"/>
          <w:szCs w:val="28"/>
        </w:rPr>
      </w:pPr>
      <w:bookmarkStart w:id="8" w:name="_Toc18629"/>
      <w:r>
        <w:rPr>
          <w:rFonts w:hint="eastAsia" w:ascii="宋体" w:hAnsi="宋体" w:eastAsia="宋体" w:cs="宋体"/>
          <w:bCs/>
          <w:kern w:val="2"/>
          <w:sz w:val="28"/>
          <w:szCs w:val="28"/>
          <w:highlight w:val="white"/>
        </w:rPr>
        <w:t>附件六：确认通知</w:t>
      </w:r>
      <w:bookmarkEnd w:id="8"/>
    </w:p>
    <w:p>
      <w:pPr>
        <w:pStyle w:val="57"/>
        <w:spacing w:line="400" w:lineRule="exact"/>
        <w:rPr>
          <w:rFonts w:ascii="宋体" w:hAnsi="宋体" w:eastAsia="宋体" w:cs="宋体"/>
          <w:kern w:val="2"/>
          <w:sz w:val="21"/>
          <w:szCs w:val="24"/>
        </w:rPr>
      </w:pPr>
    </w:p>
    <w:p>
      <w:pPr>
        <w:spacing w:line="400" w:lineRule="exact"/>
        <w:jc w:val="center"/>
        <w:rPr>
          <w:rFonts w:ascii="黑体" w:eastAsia="黑体"/>
          <w:sz w:val="28"/>
          <w:szCs w:val="28"/>
        </w:rPr>
      </w:pPr>
      <w:r>
        <w:rPr>
          <w:rFonts w:hint="eastAsia" w:ascii="黑体" w:eastAsia="黑体"/>
          <w:sz w:val="28"/>
          <w:szCs w:val="28"/>
        </w:rPr>
        <w:t>确认通知</w:t>
      </w:r>
    </w:p>
    <w:p>
      <w:pPr>
        <w:spacing w:line="400" w:lineRule="exact"/>
        <w:rPr>
          <w:szCs w:val="24"/>
        </w:rPr>
      </w:pPr>
    </w:p>
    <w:p>
      <w:pPr>
        <w:spacing w:line="440" w:lineRule="exact"/>
        <w:ind w:firstLine="480" w:firstLineChars="200"/>
      </w:pPr>
      <w:r>
        <w:rPr>
          <w:rFonts w:hint="eastAsia"/>
        </w:rPr>
        <w:t>（招标人名称）：</w:t>
      </w:r>
    </w:p>
    <w:p>
      <w:pPr>
        <w:spacing w:line="440" w:lineRule="exact"/>
      </w:pPr>
      <w:r>
        <w:rPr>
          <w:rFonts w:hint="eastAsia"/>
        </w:rPr>
        <w:t>　　</w:t>
      </w:r>
    </w:p>
    <w:p>
      <w:pPr>
        <w:spacing w:line="440" w:lineRule="exact"/>
        <w:ind w:firstLine="960" w:firstLineChars="400"/>
        <w:rPr>
          <w:u w:val="single"/>
        </w:rPr>
      </w:pPr>
      <w:r>
        <w:rPr>
          <w:rFonts w:hint="eastAsia"/>
        </w:rPr>
        <w:t>你方于年月日发出的（项目名称）关于</w:t>
      </w:r>
    </w:p>
    <w:p>
      <w:pPr>
        <w:spacing w:line="440" w:lineRule="exact"/>
        <w:ind w:firstLine="420"/>
      </w:pPr>
      <w:r>
        <w:rPr>
          <w:rFonts w:hint="eastAsia"/>
        </w:rPr>
        <w:t>的通知，我方已于年月日收到。</w:t>
      </w:r>
    </w:p>
    <w:p>
      <w:pPr>
        <w:spacing w:line="440" w:lineRule="exact"/>
      </w:pPr>
      <w:r>
        <w:rPr>
          <w:rFonts w:hint="eastAsia"/>
        </w:rPr>
        <w:t>　　特此确认。</w:t>
      </w:r>
    </w:p>
    <w:p>
      <w:pPr>
        <w:spacing w:line="440" w:lineRule="exact"/>
      </w:pPr>
    </w:p>
    <w:p>
      <w:pPr>
        <w:spacing w:line="440" w:lineRule="exact"/>
      </w:pPr>
    </w:p>
    <w:p>
      <w:pPr>
        <w:spacing w:line="440" w:lineRule="exact"/>
      </w:pPr>
      <w:r>
        <w:rPr>
          <w:rFonts w:hint="eastAsia"/>
        </w:rPr>
        <w:t>投标人：（盖单位章）</w:t>
      </w:r>
    </w:p>
    <w:p>
      <w:pPr>
        <w:spacing w:line="440" w:lineRule="exact"/>
      </w:pPr>
    </w:p>
    <w:p>
      <w:pPr>
        <w:wordWrap w:val="0"/>
        <w:spacing w:line="440" w:lineRule="exact"/>
        <w:jc w:val="right"/>
        <w:rPr>
          <w:szCs w:val="32"/>
        </w:rPr>
      </w:pPr>
      <w:r>
        <w:rPr>
          <w:rFonts w:hint="eastAsia"/>
        </w:rPr>
        <w:t>年    月    日</w:t>
      </w:r>
    </w:p>
    <w:p>
      <w:pPr>
        <w:rPr>
          <w:rFonts w:ascii="宋体" w:hAnsi="宋体" w:cs="宋体"/>
          <w:sz w:val="20"/>
          <w:highlight w:val="white"/>
        </w:rPr>
      </w:pPr>
      <w:r>
        <w:br w:type="page"/>
      </w:r>
    </w:p>
    <w:p>
      <w:pPr>
        <w:pStyle w:val="57"/>
        <w:keepNext/>
        <w:keepLines/>
        <w:spacing w:before="260" w:after="260" w:line="415" w:lineRule="auto"/>
        <w:ind w:firstLine="137" w:firstLineChars="49"/>
        <w:outlineLvl w:val="2"/>
        <w:rPr>
          <w:rFonts w:ascii="宋体" w:hAnsi="宋体" w:eastAsia="宋体" w:cs="宋体"/>
          <w:bCs/>
          <w:kern w:val="2"/>
          <w:sz w:val="28"/>
          <w:szCs w:val="28"/>
        </w:rPr>
      </w:pPr>
      <w:r>
        <w:rPr>
          <w:rFonts w:hint="eastAsia" w:ascii="宋体" w:hAnsi="宋体" w:eastAsia="宋体" w:cs="宋体"/>
          <w:bCs/>
          <w:kern w:val="2"/>
          <w:sz w:val="28"/>
          <w:szCs w:val="28"/>
          <w:highlight w:val="white"/>
        </w:rPr>
        <w:t>附件七：</w:t>
      </w:r>
      <w:r>
        <w:rPr>
          <w:rFonts w:hint="eastAsia" w:ascii="宋体" w:hAnsi="宋体" w:eastAsia="宋体" w:cs="宋体"/>
          <w:bCs/>
          <w:kern w:val="2"/>
          <w:sz w:val="28"/>
          <w:szCs w:val="28"/>
        </w:rPr>
        <w:t>报名表</w:t>
      </w:r>
    </w:p>
    <w:tbl>
      <w:tblPr>
        <w:tblStyle w:val="24"/>
        <w:tblW w:w="8851" w:type="dxa"/>
        <w:jc w:val="center"/>
        <w:tblLayout w:type="autofit"/>
        <w:tblCellMar>
          <w:top w:w="0" w:type="dxa"/>
          <w:left w:w="108" w:type="dxa"/>
          <w:bottom w:w="0" w:type="dxa"/>
          <w:right w:w="108" w:type="dxa"/>
        </w:tblCellMar>
      </w:tblPr>
      <w:tblGrid>
        <w:gridCol w:w="1577"/>
        <w:gridCol w:w="7052"/>
        <w:gridCol w:w="222"/>
      </w:tblGrid>
      <w:tr>
        <w:tblPrEx>
          <w:tblCellMar>
            <w:top w:w="0" w:type="dxa"/>
            <w:left w:w="108" w:type="dxa"/>
            <w:bottom w:w="0" w:type="dxa"/>
            <w:right w:w="108" w:type="dxa"/>
          </w:tblCellMar>
        </w:tblPrEx>
        <w:trPr>
          <w:trHeight w:val="660" w:hRule="atLeast"/>
          <w:jc w:val="center"/>
        </w:trPr>
        <w:tc>
          <w:tcPr>
            <w:tcW w:w="15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投标编号</w:t>
            </w:r>
          </w:p>
        </w:tc>
        <w:tc>
          <w:tcPr>
            <w:tcW w:w="727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Tahoma"/>
                <w:color w:val="000000"/>
                <w:kern w:val="0"/>
                <w:sz w:val="28"/>
                <w:szCs w:val="22"/>
              </w:rPr>
            </w:pPr>
            <w:r>
              <w:rPr>
                <w:rFonts w:hint="eastAsia" w:ascii="宋体" w:hAnsi="宋体" w:cs="Tahoma"/>
                <w:color w:val="000000"/>
                <w:kern w:val="0"/>
                <w:sz w:val="28"/>
                <w:szCs w:val="22"/>
              </w:rPr>
              <w:t>　</w:t>
            </w:r>
          </w:p>
        </w:tc>
      </w:tr>
      <w:tr>
        <w:tblPrEx>
          <w:tblCellMar>
            <w:top w:w="0" w:type="dxa"/>
            <w:left w:w="108" w:type="dxa"/>
            <w:bottom w:w="0" w:type="dxa"/>
            <w:right w:w="108" w:type="dxa"/>
          </w:tblCellMar>
        </w:tblPrEx>
        <w:trPr>
          <w:trHeight w:val="660" w:hRule="atLeast"/>
          <w:jc w:val="center"/>
        </w:trPr>
        <w:tc>
          <w:tcPr>
            <w:tcW w:w="157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项目名称</w:t>
            </w:r>
          </w:p>
        </w:tc>
        <w:tc>
          <w:tcPr>
            <w:tcW w:w="727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Tahoma"/>
                <w:color w:val="000000"/>
                <w:kern w:val="0"/>
                <w:sz w:val="28"/>
                <w:szCs w:val="22"/>
              </w:rPr>
            </w:pPr>
            <w:r>
              <w:rPr>
                <w:rFonts w:hint="eastAsia" w:ascii="宋体" w:hAnsi="宋体" w:cs="Tahoma"/>
                <w:color w:val="000000"/>
                <w:kern w:val="0"/>
                <w:sz w:val="28"/>
                <w:szCs w:val="22"/>
              </w:rPr>
              <w:t>　</w:t>
            </w:r>
          </w:p>
        </w:tc>
      </w:tr>
      <w:tr>
        <w:tblPrEx>
          <w:tblCellMar>
            <w:top w:w="0" w:type="dxa"/>
            <w:left w:w="108" w:type="dxa"/>
            <w:bottom w:w="0" w:type="dxa"/>
            <w:right w:w="108" w:type="dxa"/>
          </w:tblCellMar>
        </w:tblPrEx>
        <w:trPr>
          <w:trHeight w:val="660" w:hRule="atLeast"/>
          <w:jc w:val="center"/>
        </w:trPr>
        <w:tc>
          <w:tcPr>
            <w:tcW w:w="15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2"/>
              </w:rPr>
            </w:pPr>
            <w:r>
              <w:rPr>
                <w:rFonts w:hint="eastAsia" w:ascii="宋体" w:hAnsi="宋体" w:cs="Tahoma"/>
                <w:color w:val="000000"/>
                <w:kern w:val="0"/>
                <w:sz w:val="28"/>
                <w:szCs w:val="22"/>
              </w:rPr>
              <w:t>投</w:t>
            </w:r>
            <w:r>
              <w:rPr>
                <w:rFonts w:hint="eastAsia" w:ascii="宋体" w:hAnsi="宋体" w:cs="Tahoma"/>
                <w:color w:val="000000"/>
                <w:kern w:val="0"/>
                <w:sz w:val="28"/>
                <w:szCs w:val="22"/>
              </w:rPr>
              <w:br w:type="textWrapping"/>
            </w:r>
            <w:r>
              <w:rPr>
                <w:rFonts w:hint="eastAsia" w:ascii="宋体" w:hAnsi="宋体" w:cs="Tahoma"/>
                <w:color w:val="000000"/>
                <w:kern w:val="0"/>
                <w:sz w:val="28"/>
                <w:szCs w:val="22"/>
              </w:rPr>
              <w:t>标</w:t>
            </w:r>
            <w:r>
              <w:rPr>
                <w:rFonts w:hint="eastAsia" w:ascii="宋体" w:hAnsi="宋体" w:cs="Tahoma"/>
                <w:color w:val="000000"/>
                <w:kern w:val="0"/>
                <w:sz w:val="28"/>
                <w:szCs w:val="22"/>
              </w:rPr>
              <w:br w:type="textWrapping"/>
            </w:r>
            <w:r>
              <w:rPr>
                <w:rFonts w:hint="eastAsia" w:ascii="宋体" w:hAnsi="宋体" w:cs="Tahoma"/>
                <w:color w:val="000000"/>
                <w:kern w:val="0"/>
                <w:sz w:val="28"/>
                <w:szCs w:val="22"/>
              </w:rPr>
              <w:t>单</w:t>
            </w:r>
            <w:r>
              <w:rPr>
                <w:rFonts w:hint="eastAsia" w:ascii="宋体" w:hAnsi="宋体" w:cs="Tahoma"/>
                <w:color w:val="000000"/>
                <w:kern w:val="0"/>
                <w:sz w:val="28"/>
                <w:szCs w:val="22"/>
              </w:rPr>
              <w:br w:type="textWrapping"/>
            </w:r>
            <w:r>
              <w:rPr>
                <w:rFonts w:hint="eastAsia" w:ascii="宋体" w:hAnsi="宋体" w:cs="Tahoma"/>
                <w:color w:val="000000"/>
                <w:kern w:val="0"/>
                <w:sz w:val="28"/>
                <w:szCs w:val="22"/>
              </w:rPr>
              <w:t>位</w:t>
            </w:r>
            <w:r>
              <w:rPr>
                <w:rFonts w:hint="eastAsia" w:ascii="宋体" w:hAnsi="宋体" w:cs="Tahoma"/>
                <w:color w:val="000000"/>
                <w:kern w:val="0"/>
                <w:sz w:val="28"/>
                <w:szCs w:val="22"/>
              </w:rPr>
              <w:br w:type="textWrapping"/>
            </w:r>
            <w:r>
              <w:rPr>
                <w:rFonts w:hint="eastAsia" w:ascii="宋体" w:hAnsi="宋体" w:cs="Tahoma"/>
                <w:color w:val="000000"/>
                <w:kern w:val="0"/>
                <w:sz w:val="28"/>
                <w:szCs w:val="22"/>
              </w:rPr>
              <w:t>情</w:t>
            </w:r>
            <w:r>
              <w:rPr>
                <w:rFonts w:hint="eastAsia" w:ascii="宋体" w:hAnsi="宋体" w:cs="Tahoma"/>
                <w:color w:val="000000"/>
                <w:kern w:val="0"/>
                <w:sz w:val="28"/>
                <w:szCs w:val="22"/>
              </w:rPr>
              <w:br w:type="textWrapping"/>
            </w:r>
            <w:r>
              <w:rPr>
                <w:rFonts w:hint="eastAsia" w:ascii="宋体" w:hAnsi="宋体" w:cs="Tahoma"/>
                <w:color w:val="000000"/>
                <w:kern w:val="0"/>
                <w:sz w:val="28"/>
                <w:szCs w:val="22"/>
              </w:rPr>
              <w:t>况</w:t>
            </w:r>
          </w:p>
        </w:tc>
        <w:tc>
          <w:tcPr>
            <w:tcW w:w="7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单位名称（加盖公章）</w:t>
            </w:r>
          </w:p>
        </w:tc>
        <w:tc>
          <w:tcPr>
            <w:tcW w:w="222"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8"/>
                <w:szCs w:val="22"/>
              </w:rPr>
            </w:pPr>
            <w:r>
              <w:rPr>
                <w:rFonts w:ascii="Tahoma" w:hAnsi="Tahoma" w:cs="Tahoma"/>
                <w:color w:val="000000"/>
                <w:kern w:val="0"/>
                <w:sz w:val="28"/>
                <w:szCs w:val="22"/>
              </w:rPr>
              <w:t>　</w:t>
            </w:r>
          </w:p>
        </w:tc>
      </w:tr>
      <w:tr>
        <w:tblPrEx>
          <w:tblCellMar>
            <w:top w:w="0" w:type="dxa"/>
            <w:left w:w="108" w:type="dxa"/>
            <w:bottom w:w="0" w:type="dxa"/>
            <w:right w:w="108" w:type="dxa"/>
          </w:tblCellMar>
        </w:tblPrEx>
        <w:trPr>
          <w:trHeight w:val="660" w:hRule="atLeast"/>
          <w:jc w:val="center"/>
        </w:trPr>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8"/>
                <w:szCs w:val="22"/>
              </w:rPr>
            </w:pPr>
          </w:p>
        </w:tc>
        <w:tc>
          <w:tcPr>
            <w:tcW w:w="7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注册资本金（万元）</w:t>
            </w:r>
          </w:p>
        </w:tc>
        <w:tc>
          <w:tcPr>
            <w:tcW w:w="222"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8"/>
                <w:szCs w:val="22"/>
              </w:rPr>
            </w:pPr>
            <w:r>
              <w:rPr>
                <w:rFonts w:ascii="Tahoma" w:hAnsi="Tahoma" w:cs="Tahoma"/>
                <w:color w:val="000000"/>
                <w:kern w:val="0"/>
                <w:sz w:val="28"/>
                <w:szCs w:val="22"/>
              </w:rPr>
              <w:t>　</w:t>
            </w:r>
          </w:p>
        </w:tc>
      </w:tr>
      <w:tr>
        <w:tblPrEx>
          <w:tblCellMar>
            <w:top w:w="0" w:type="dxa"/>
            <w:left w:w="108" w:type="dxa"/>
            <w:bottom w:w="0" w:type="dxa"/>
            <w:right w:w="108" w:type="dxa"/>
          </w:tblCellMar>
        </w:tblPrEx>
        <w:trPr>
          <w:trHeight w:val="660" w:hRule="atLeast"/>
          <w:jc w:val="center"/>
        </w:trPr>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8"/>
                <w:szCs w:val="22"/>
              </w:rPr>
            </w:pPr>
          </w:p>
        </w:tc>
        <w:tc>
          <w:tcPr>
            <w:tcW w:w="7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注册地</w:t>
            </w:r>
          </w:p>
        </w:tc>
        <w:tc>
          <w:tcPr>
            <w:tcW w:w="222"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8"/>
                <w:szCs w:val="22"/>
              </w:rPr>
            </w:pPr>
            <w:r>
              <w:rPr>
                <w:rFonts w:ascii="Tahoma" w:hAnsi="Tahoma" w:cs="Tahoma"/>
                <w:color w:val="000000"/>
                <w:kern w:val="0"/>
                <w:sz w:val="28"/>
                <w:szCs w:val="22"/>
              </w:rPr>
              <w:t>　</w:t>
            </w:r>
          </w:p>
        </w:tc>
      </w:tr>
      <w:tr>
        <w:tblPrEx>
          <w:tblCellMar>
            <w:top w:w="0" w:type="dxa"/>
            <w:left w:w="108" w:type="dxa"/>
            <w:bottom w:w="0" w:type="dxa"/>
            <w:right w:w="108" w:type="dxa"/>
          </w:tblCellMar>
        </w:tblPrEx>
        <w:trPr>
          <w:trHeight w:val="660" w:hRule="atLeast"/>
          <w:jc w:val="center"/>
        </w:trPr>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8"/>
                <w:szCs w:val="22"/>
              </w:rPr>
            </w:pPr>
          </w:p>
        </w:tc>
        <w:tc>
          <w:tcPr>
            <w:tcW w:w="7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通讯地址</w:t>
            </w:r>
          </w:p>
        </w:tc>
        <w:tc>
          <w:tcPr>
            <w:tcW w:w="222"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8"/>
                <w:szCs w:val="22"/>
              </w:rPr>
            </w:pPr>
            <w:r>
              <w:rPr>
                <w:rFonts w:ascii="Tahoma" w:hAnsi="Tahoma" w:cs="Tahoma"/>
                <w:color w:val="000000"/>
                <w:kern w:val="0"/>
                <w:sz w:val="28"/>
                <w:szCs w:val="22"/>
              </w:rPr>
              <w:t>　</w:t>
            </w:r>
          </w:p>
        </w:tc>
      </w:tr>
      <w:tr>
        <w:tblPrEx>
          <w:tblCellMar>
            <w:top w:w="0" w:type="dxa"/>
            <w:left w:w="108" w:type="dxa"/>
            <w:bottom w:w="0" w:type="dxa"/>
            <w:right w:w="108" w:type="dxa"/>
          </w:tblCellMar>
        </w:tblPrEx>
        <w:trPr>
          <w:trHeight w:val="660" w:hRule="atLeast"/>
          <w:jc w:val="center"/>
        </w:trPr>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8"/>
                <w:szCs w:val="22"/>
              </w:rPr>
            </w:pPr>
          </w:p>
        </w:tc>
        <w:tc>
          <w:tcPr>
            <w:tcW w:w="7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联系人</w:t>
            </w:r>
          </w:p>
        </w:tc>
        <w:tc>
          <w:tcPr>
            <w:tcW w:w="222"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8"/>
                <w:szCs w:val="22"/>
              </w:rPr>
            </w:pPr>
            <w:r>
              <w:rPr>
                <w:rFonts w:ascii="Tahoma" w:hAnsi="Tahoma" w:cs="Tahoma"/>
                <w:color w:val="000000"/>
                <w:kern w:val="0"/>
                <w:sz w:val="28"/>
                <w:szCs w:val="22"/>
              </w:rPr>
              <w:t>　</w:t>
            </w:r>
          </w:p>
        </w:tc>
      </w:tr>
      <w:tr>
        <w:tblPrEx>
          <w:tblCellMar>
            <w:top w:w="0" w:type="dxa"/>
            <w:left w:w="108" w:type="dxa"/>
            <w:bottom w:w="0" w:type="dxa"/>
            <w:right w:w="108" w:type="dxa"/>
          </w:tblCellMar>
        </w:tblPrEx>
        <w:trPr>
          <w:trHeight w:val="660" w:hRule="atLeast"/>
          <w:jc w:val="center"/>
        </w:trPr>
        <w:tc>
          <w:tcPr>
            <w:tcW w:w="15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ahoma"/>
                <w:color w:val="000000"/>
                <w:kern w:val="0"/>
                <w:sz w:val="28"/>
                <w:szCs w:val="22"/>
              </w:rPr>
            </w:pPr>
          </w:p>
        </w:tc>
        <w:tc>
          <w:tcPr>
            <w:tcW w:w="70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Tahoma"/>
                <w:color w:val="000000"/>
                <w:kern w:val="0"/>
                <w:sz w:val="28"/>
                <w:szCs w:val="22"/>
              </w:rPr>
            </w:pPr>
            <w:r>
              <w:rPr>
                <w:rFonts w:hint="eastAsia" w:ascii="宋体" w:hAnsi="宋体" w:cs="Tahoma"/>
                <w:color w:val="000000"/>
                <w:kern w:val="0"/>
                <w:sz w:val="28"/>
                <w:szCs w:val="22"/>
              </w:rPr>
              <w:t>联系电话</w:t>
            </w:r>
          </w:p>
        </w:tc>
        <w:tc>
          <w:tcPr>
            <w:tcW w:w="222" w:type="dxa"/>
            <w:tcBorders>
              <w:top w:val="nil"/>
              <w:left w:val="nil"/>
              <w:bottom w:val="single" w:color="auto" w:sz="4" w:space="0"/>
              <w:right w:val="single" w:color="auto" w:sz="4" w:space="0"/>
            </w:tcBorders>
            <w:shd w:val="clear" w:color="auto" w:fill="auto"/>
            <w:noWrap/>
            <w:vAlign w:val="center"/>
          </w:tcPr>
          <w:p>
            <w:pPr>
              <w:widowControl/>
              <w:jc w:val="left"/>
              <w:rPr>
                <w:rFonts w:ascii="Tahoma" w:hAnsi="Tahoma" w:cs="Tahoma"/>
                <w:color w:val="000000"/>
                <w:kern w:val="0"/>
                <w:sz w:val="28"/>
                <w:szCs w:val="22"/>
              </w:rPr>
            </w:pPr>
            <w:r>
              <w:rPr>
                <w:rFonts w:ascii="Tahoma" w:hAnsi="Tahoma" w:cs="Tahoma"/>
                <w:color w:val="000000"/>
                <w:kern w:val="0"/>
                <w:sz w:val="28"/>
                <w:szCs w:val="22"/>
              </w:rPr>
              <w:t>　</w:t>
            </w:r>
          </w:p>
        </w:tc>
      </w:tr>
    </w:tbl>
    <w:p>
      <w:pPr>
        <w:widowControl/>
        <w:rPr>
          <w:rFonts w:ascii="宋体" w:hAnsi="宋体" w:cs="Tahoma"/>
          <w:color w:val="000000"/>
          <w:kern w:val="0"/>
          <w:sz w:val="28"/>
          <w:szCs w:val="22"/>
          <w:u w:val="single"/>
        </w:rPr>
      </w:pPr>
      <w:r>
        <w:rPr>
          <w:rFonts w:hint="eastAsia" w:ascii="宋体" w:hAnsi="宋体" w:cs="Tahoma"/>
          <w:color w:val="000000"/>
          <w:kern w:val="0"/>
          <w:sz w:val="28"/>
          <w:szCs w:val="22"/>
          <w:u w:val="single"/>
        </w:rPr>
        <w:t>（报名人）            承诺：</w:t>
      </w:r>
    </w:p>
    <w:p>
      <w:pPr>
        <w:pStyle w:val="57"/>
        <w:keepNext/>
        <w:keepLines/>
        <w:spacing w:before="260" w:after="260" w:line="415" w:lineRule="auto"/>
        <w:ind w:firstLine="137" w:firstLineChars="49"/>
        <w:outlineLvl w:val="2"/>
        <w:rPr>
          <w:rFonts w:ascii="宋体" w:hAnsi="宋体" w:eastAsia="宋体" w:cs="宋体"/>
          <w:bCs/>
          <w:kern w:val="2"/>
          <w:sz w:val="28"/>
          <w:szCs w:val="28"/>
        </w:rPr>
      </w:pPr>
      <w:r>
        <w:rPr>
          <w:rFonts w:hint="eastAsia" w:ascii="宋体" w:hAnsi="宋体" w:eastAsia="宋体" w:cs="宋体"/>
          <w:bCs/>
          <w:kern w:val="2"/>
          <w:sz w:val="28"/>
          <w:szCs w:val="28"/>
        </w:rPr>
        <w:t>对以上所填内容及招标公告内容均承担判知能力，以上所填内容属实。</w:t>
      </w:r>
    </w:p>
    <w:p>
      <w:pPr>
        <w:pStyle w:val="57"/>
        <w:keepNext/>
        <w:keepLines/>
        <w:spacing w:before="260" w:after="260" w:line="415" w:lineRule="auto"/>
        <w:ind w:firstLine="137" w:firstLineChars="49"/>
        <w:outlineLvl w:val="2"/>
        <w:rPr>
          <w:rFonts w:ascii="宋体" w:hAnsi="宋体" w:eastAsia="宋体" w:cs="宋体"/>
          <w:bCs/>
          <w:kern w:val="2"/>
          <w:sz w:val="28"/>
          <w:szCs w:val="28"/>
        </w:rPr>
      </w:pPr>
      <w:r>
        <w:rPr>
          <w:rFonts w:hint="eastAsia" w:ascii="宋体" w:hAnsi="宋体" w:eastAsia="宋体" w:cs="宋体"/>
          <w:bCs/>
          <w:kern w:val="2"/>
          <w:sz w:val="28"/>
          <w:szCs w:val="28"/>
        </w:rPr>
        <w:t xml:space="preserve">                                             年   月   日</w:t>
      </w:r>
    </w:p>
    <w:p>
      <w:pPr>
        <w:pStyle w:val="57"/>
        <w:keepNext/>
        <w:keepLines/>
        <w:spacing w:before="260" w:after="260" w:line="415" w:lineRule="auto"/>
        <w:ind w:firstLine="137" w:firstLineChars="49"/>
        <w:outlineLvl w:val="2"/>
        <w:rPr>
          <w:rFonts w:ascii="宋体" w:hAnsi="宋体" w:eastAsia="宋体" w:cs="宋体"/>
          <w:bCs/>
          <w:kern w:val="2"/>
          <w:sz w:val="28"/>
          <w:szCs w:val="28"/>
        </w:rPr>
      </w:pPr>
    </w:p>
    <w:p>
      <w:pPr>
        <w:adjustRightInd w:val="0"/>
        <w:snapToGrid w:val="0"/>
        <w:spacing w:line="480" w:lineRule="auto"/>
        <w:jc w:val="center"/>
        <w:rPr>
          <w:rFonts w:asciiTheme="minorEastAsia" w:hAnsiTheme="minorEastAsia" w:eastAsiaTheme="minorEastAsia"/>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16</w:t>
    </w:r>
    <w:r>
      <w:rPr>
        <w:rStyle w:val="28"/>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A591B"/>
    <w:multiLevelType w:val="multilevel"/>
    <w:tmpl w:val="110A591B"/>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5.2.%4"/>
      <w:lvlJc w:val="left"/>
      <w:pPr>
        <w:tabs>
          <w:tab w:val="left" w:pos="1080"/>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30DD5B51"/>
    <w:multiLevelType w:val="singleLevel"/>
    <w:tmpl w:val="30DD5B51"/>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hideSpellingErrors/>
  <w:documentProtection w:enforcement="0"/>
  <w:defaultTabStop w:val="105"/>
  <w:doNotHyphenateCaps/>
  <w:drawingGridHorizontalSpacing w:val="105"/>
  <w:drawingGridVerticalSpacing w:val="120"/>
  <w:displayHorizontalDrawingGridEvery w:val="0"/>
  <w:displayVerticalDrawingGridEvery w:val="3"/>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B3607"/>
    <w:rsid w:val="00000537"/>
    <w:rsid w:val="00002FC1"/>
    <w:rsid w:val="00003432"/>
    <w:rsid w:val="00004661"/>
    <w:rsid w:val="00004CE4"/>
    <w:rsid w:val="000059F5"/>
    <w:rsid w:val="00005F0D"/>
    <w:rsid w:val="00005F99"/>
    <w:rsid w:val="0001628B"/>
    <w:rsid w:val="00020FFD"/>
    <w:rsid w:val="0002555E"/>
    <w:rsid w:val="000258D4"/>
    <w:rsid w:val="00026C22"/>
    <w:rsid w:val="00026C81"/>
    <w:rsid w:val="000276EF"/>
    <w:rsid w:val="00030102"/>
    <w:rsid w:val="00030104"/>
    <w:rsid w:val="000311C6"/>
    <w:rsid w:val="00031A58"/>
    <w:rsid w:val="000328C6"/>
    <w:rsid w:val="000339FC"/>
    <w:rsid w:val="0003405A"/>
    <w:rsid w:val="00035096"/>
    <w:rsid w:val="00035348"/>
    <w:rsid w:val="00037B76"/>
    <w:rsid w:val="000400DB"/>
    <w:rsid w:val="000416FA"/>
    <w:rsid w:val="00042535"/>
    <w:rsid w:val="0004412C"/>
    <w:rsid w:val="000456DE"/>
    <w:rsid w:val="00047DA3"/>
    <w:rsid w:val="00051666"/>
    <w:rsid w:val="00055FC4"/>
    <w:rsid w:val="00056220"/>
    <w:rsid w:val="00057141"/>
    <w:rsid w:val="0006116F"/>
    <w:rsid w:val="0006342B"/>
    <w:rsid w:val="0006391C"/>
    <w:rsid w:val="00063B10"/>
    <w:rsid w:val="000668D6"/>
    <w:rsid w:val="00066B44"/>
    <w:rsid w:val="00070075"/>
    <w:rsid w:val="000707AE"/>
    <w:rsid w:val="000738F7"/>
    <w:rsid w:val="0007445F"/>
    <w:rsid w:val="00075033"/>
    <w:rsid w:val="000770EB"/>
    <w:rsid w:val="000775B2"/>
    <w:rsid w:val="00083492"/>
    <w:rsid w:val="000861ED"/>
    <w:rsid w:val="00087D41"/>
    <w:rsid w:val="00091EE6"/>
    <w:rsid w:val="00092F8E"/>
    <w:rsid w:val="000944CB"/>
    <w:rsid w:val="000A0486"/>
    <w:rsid w:val="000A10BB"/>
    <w:rsid w:val="000A391D"/>
    <w:rsid w:val="000A53F9"/>
    <w:rsid w:val="000B0A5A"/>
    <w:rsid w:val="000B399D"/>
    <w:rsid w:val="000B4F3E"/>
    <w:rsid w:val="000B75DE"/>
    <w:rsid w:val="000C02D8"/>
    <w:rsid w:val="000C1E51"/>
    <w:rsid w:val="000C2682"/>
    <w:rsid w:val="000C4047"/>
    <w:rsid w:val="000D2B4E"/>
    <w:rsid w:val="000D3415"/>
    <w:rsid w:val="000D4DDD"/>
    <w:rsid w:val="000E12D2"/>
    <w:rsid w:val="000E16A3"/>
    <w:rsid w:val="000E247C"/>
    <w:rsid w:val="000E4776"/>
    <w:rsid w:val="000E5FBD"/>
    <w:rsid w:val="000E6567"/>
    <w:rsid w:val="000E68F5"/>
    <w:rsid w:val="000F028D"/>
    <w:rsid w:val="000F0FC3"/>
    <w:rsid w:val="000F11B1"/>
    <w:rsid w:val="000F2330"/>
    <w:rsid w:val="000F35B0"/>
    <w:rsid w:val="000F410F"/>
    <w:rsid w:val="000F4484"/>
    <w:rsid w:val="000F4D30"/>
    <w:rsid w:val="000F79C4"/>
    <w:rsid w:val="000F7FA4"/>
    <w:rsid w:val="00102567"/>
    <w:rsid w:val="001045D0"/>
    <w:rsid w:val="00104BBA"/>
    <w:rsid w:val="0010519A"/>
    <w:rsid w:val="00106EB1"/>
    <w:rsid w:val="001078CC"/>
    <w:rsid w:val="00116547"/>
    <w:rsid w:val="00116EF9"/>
    <w:rsid w:val="0012034F"/>
    <w:rsid w:val="00121907"/>
    <w:rsid w:val="00124055"/>
    <w:rsid w:val="0012497B"/>
    <w:rsid w:val="001258BC"/>
    <w:rsid w:val="001265E4"/>
    <w:rsid w:val="001271DD"/>
    <w:rsid w:val="00127B26"/>
    <w:rsid w:val="001331E1"/>
    <w:rsid w:val="00133E6E"/>
    <w:rsid w:val="0013607A"/>
    <w:rsid w:val="00136177"/>
    <w:rsid w:val="00136487"/>
    <w:rsid w:val="001423F7"/>
    <w:rsid w:val="00143A8C"/>
    <w:rsid w:val="001472E8"/>
    <w:rsid w:val="00147A29"/>
    <w:rsid w:val="00152295"/>
    <w:rsid w:val="00152979"/>
    <w:rsid w:val="00153661"/>
    <w:rsid w:val="001618A2"/>
    <w:rsid w:val="00161FF8"/>
    <w:rsid w:val="00163368"/>
    <w:rsid w:val="0016494B"/>
    <w:rsid w:val="001652A0"/>
    <w:rsid w:val="0016794D"/>
    <w:rsid w:val="00167B0D"/>
    <w:rsid w:val="00171D5F"/>
    <w:rsid w:val="001721BF"/>
    <w:rsid w:val="00172606"/>
    <w:rsid w:val="00172AAB"/>
    <w:rsid w:val="00173E58"/>
    <w:rsid w:val="00175AE6"/>
    <w:rsid w:val="00176AA4"/>
    <w:rsid w:val="00177122"/>
    <w:rsid w:val="00181313"/>
    <w:rsid w:val="001873F1"/>
    <w:rsid w:val="00187F19"/>
    <w:rsid w:val="0019073F"/>
    <w:rsid w:val="001914A7"/>
    <w:rsid w:val="001914D4"/>
    <w:rsid w:val="00191E29"/>
    <w:rsid w:val="00192A72"/>
    <w:rsid w:val="00194788"/>
    <w:rsid w:val="00196929"/>
    <w:rsid w:val="00196F06"/>
    <w:rsid w:val="001A12A2"/>
    <w:rsid w:val="001A61D2"/>
    <w:rsid w:val="001A74C4"/>
    <w:rsid w:val="001B0B30"/>
    <w:rsid w:val="001B183A"/>
    <w:rsid w:val="001B2DF4"/>
    <w:rsid w:val="001B30F2"/>
    <w:rsid w:val="001B53E9"/>
    <w:rsid w:val="001C2D16"/>
    <w:rsid w:val="001C4EB4"/>
    <w:rsid w:val="001C5F8C"/>
    <w:rsid w:val="001C5FDF"/>
    <w:rsid w:val="001C7B62"/>
    <w:rsid w:val="001D1BCF"/>
    <w:rsid w:val="001D3364"/>
    <w:rsid w:val="001D37C0"/>
    <w:rsid w:val="001D4349"/>
    <w:rsid w:val="001D5285"/>
    <w:rsid w:val="001D7768"/>
    <w:rsid w:val="001D79A8"/>
    <w:rsid w:val="001D7D4B"/>
    <w:rsid w:val="001E0B91"/>
    <w:rsid w:val="001E0D6C"/>
    <w:rsid w:val="001E124D"/>
    <w:rsid w:val="001E1661"/>
    <w:rsid w:val="001E2A34"/>
    <w:rsid w:val="001E6B9E"/>
    <w:rsid w:val="001E6E7F"/>
    <w:rsid w:val="001E7644"/>
    <w:rsid w:val="001F0EB0"/>
    <w:rsid w:val="001F1D34"/>
    <w:rsid w:val="001F2723"/>
    <w:rsid w:val="001F2C17"/>
    <w:rsid w:val="001F4A0E"/>
    <w:rsid w:val="001F5077"/>
    <w:rsid w:val="001F6B65"/>
    <w:rsid w:val="001F7279"/>
    <w:rsid w:val="002006B2"/>
    <w:rsid w:val="00202F78"/>
    <w:rsid w:val="00205014"/>
    <w:rsid w:val="00206476"/>
    <w:rsid w:val="00210FC7"/>
    <w:rsid w:val="00211A6E"/>
    <w:rsid w:val="0021396F"/>
    <w:rsid w:val="00213FC2"/>
    <w:rsid w:val="00214371"/>
    <w:rsid w:val="00214995"/>
    <w:rsid w:val="00214BC2"/>
    <w:rsid w:val="002164B5"/>
    <w:rsid w:val="00217F12"/>
    <w:rsid w:val="0022165B"/>
    <w:rsid w:val="00222AC2"/>
    <w:rsid w:val="002241EF"/>
    <w:rsid w:val="0022422F"/>
    <w:rsid w:val="00225DA2"/>
    <w:rsid w:val="002312C7"/>
    <w:rsid w:val="00231473"/>
    <w:rsid w:val="00231DA8"/>
    <w:rsid w:val="00231E99"/>
    <w:rsid w:val="00232752"/>
    <w:rsid w:val="00233050"/>
    <w:rsid w:val="0023415A"/>
    <w:rsid w:val="00235125"/>
    <w:rsid w:val="00235E8B"/>
    <w:rsid w:val="002427FE"/>
    <w:rsid w:val="00245362"/>
    <w:rsid w:val="0024562D"/>
    <w:rsid w:val="002458C4"/>
    <w:rsid w:val="002512AC"/>
    <w:rsid w:val="00253344"/>
    <w:rsid w:val="0025692C"/>
    <w:rsid w:val="002575C5"/>
    <w:rsid w:val="00257B54"/>
    <w:rsid w:val="00260742"/>
    <w:rsid w:val="00260F98"/>
    <w:rsid w:val="00267D08"/>
    <w:rsid w:val="00273CAE"/>
    <w:rsid w:val="00275CAF"/>
    <w:rsid w:val="00280394"/>
    <w:rsid w:val="00280D6F"/>
    <w:rsid w:val="002811A9"/>
    <w:rsid w:val="0028143F"/>
    <w:rsid w:val="00282048"/>
    <w:rsid w:val="00282A63"/>
    <w:rsid w:val="0028319B"/>
    <w:rsid w:val="002833A1"/>
    <w:rsid w:val="00284D4A"/>
    <w:rsid w:val="002853DA"/>
    <w:rsid w:val="0028578D"/>
    <w:rsid w:val="00287754"/>
    <w:rsid w:val="00287D44"/>
    <w:rsid w:val="00287FE5"/>
    <w:rsid w:val="002904AB"/>
    <w:rsid w:val="00293989"/>
    <w:rsid w:val="00293C7D"/>
    <w:rsid w:val="00294976"/>
    <w:rsid w:val="00294EBC"/>
    <w:rsid w:val="00296830"/>
    <w:rsid w:val="00297E49"/>
    <w:rsid w:val="002A07B5"/>
    <w:rsid w:val="002A0A81"/>
    <w:rsid w:val="002A0B0C"/>
    <w:rsid w:val="002A1A2C"/>
    <w:rsid w:val="002A41A3"/>
    <w:rsid w:val="002A4692"/>
    <w:rsid w:val="002A52D6"/>
    <w:rsid w:val="002A7158"/>
    <w:rsid w:val="002B043D"/>
    <w:rsid w:val="002B1307"/>
    <w:rsid w:val="002B23BF"/>
    <w:rsid w:val="002B2704"/>
    <w:rsid w:val="002B3158"/>
    <w:rsid w:val="002B3181"/>
    <w:rsid w:val="002B3607"/>
    <w:rsid w:val="002B3DE3"/>
    <w:rsid w:val="002B410E"/>
    <w:rsid w:val="002C2D0B"/>
    <w:rsid w:val="002C3140"/>
    <w:rsid w:val="002C4C7A"/>
    <w:rsid w:val="002C4ECA"/>
    <w:rsid w:val="002C50B7"/>
    <w:rsid w:val="002C58CC"/>
    <w:rsid w:val="002C704B"/>
    <w:rsid w:val="002C7EF4"/>
    <w:rsid w:val="002D1193"/>
    <w:rsid w:val="002D2888"/>
    <w:rsid w:val="002D34C5"/>
    <w:rsid w:val="002D598F"/>
    <w:rsid w:val="002D601A"/>
    <w:rsid w:val="002D7532"/>
    <w:rsid w:val="002D7BB9"/>
    <w:rsid w:val="002E0162"/>
    <w:rsid w:val="002E0DA6"/>
    <w:rsid w:val="002E353F"/>
    <w:rsid w:val="002E370B"/>
    <w:rsid w:val="002E4381"/>
    <w:rsid w:val="002E572C"/>
    <w:rsid w:val="002E640B"/>
    <w:rsid w:val="002E7497"/>
    <w:rsid w:val="002F1DB6"/>
    <w:rsid w:val="002F27D2"/>
    <w:rsid w:val="002F29F7"/>
    <w:rsid w:val="002F455A"/>
    <w:rsid w:val="002F5CEF"/>
    <w:rsid w:val="003009A1"/>
    <w:rsid w:val="003023BA"/>
    <w:rsid w:val="00302608"/>
    <w:rsid w:val="00306130"/>
    <w:rsid w:val="00313B54"/>
    <w:rsid w:val="00313E1A"/>
    <w:rsid w:val="003140EE"/>
    <w:rsid w:val="00314384"/>
    <w:rsid w:val="003165FD"/>
    <w:rsid w:val="00320D3B"/>
    <w:rsid w:val="00322328"/>
    <w:rsid w:val="00323226"/>
    <w:rsid w:val="003241E1"/>
    <w:rsid w:val="00325AE1"/>
    <w:rsid w:val="003261C5"/>
    <w:rsid w:val="003263CC"/>
    <w:rsid w:val="003271A4"/>
    <w:rsid w:val="00333630"/>
    <w:rsid w:val="003336CB"/>
    <w:rsid w:val="003347BF"/>
    <w:rsid w:val="00334C46"/>
    <w:rsid w:val="00335E38"/>
    <w:rsid w:val="0033623B"/>
    <w:rsid w:val="00343306"/>
    <w:rsid w:val="00344C3D"/>
    <w:rsid w:val="00346445"/>
    <w:rsid w:val="003467D5"/>
    <w:rsid w:val="00350802"/>
    <w:rsid w:val="00351381"/>
    <w:rsid w:val="0035154A"/>
    <w:rsid w:val="00351CF3"/>
    <w:rsid w:val="00352F2E"/>
    <w:rsid w:val="00356794"/>
    <w:rsid w:val="003571D2"/>
    <w:rsid w:val="00360465"/>
    <w:rsid w:val="00365180"/>
    <w:rsid w:val="00365F00"/>
    <w:rsid w:val="00367658"/>
    <w:rsid w:val="00373B3B"/>
    <w:rsid w:val="003771B5"/>
    <w:rsid w:val="00377310"/>
    <w:rsid w:val="003779E8"/>
    <w:rsid w:val="00377A44"/>
    <w:rsid w:val="00377C6B"/>
    <w:rsid w:val="00380619"/>
    <w:rsid w:val="00383CD1"/>
    <w:rsid w:val="00387F0A"/>
    <w:rsid w:val="00390E48"/>
    <w:rsid w:val="00391843"/>
    <w:rsid w:val="003934FE"/>
    <w:rsid w:val="00394AAA"/>
    <w:rsid w:val="0039571D"/>
    <w:rsid w:val="00395A08"/>
    <w:rsid w:val="003A131A"/>
    <w:rsid w:val="003A195E"/>
    <w:rsid w:val="003B1499"/>
    <w:rsid w:val="003B1DD0"/>
    <w:rsid w:val="003B25B3"/>
    <w:rsid w:val="003B39E3"/>
    <w:rsid w:val="003B3BD5"/>
    <w:rsid w:val="003B4203"/>
    <w:rsid w:val="003B534E"/>
    <w:rsid w:val="003B5803"/>
    <w:rsid w:val="003B5893"/>
    <w:rsid w:val="003B6B50"/>
    <w:rsid w:val="003B6CCF"/>
    <w:rsid w:val="003B737A"/>
    <w:rsid w:val="003C0925"/>
    <w:rsid w:val="003C09BC"/>
    <w:rsid w:val="003C3BEC"/>
    <w:rsid w:val="003C48D4"/>
    <w:rsid w:val="003C493A"/>
    <w:rsid w:val="003C4986"/>
    <w:rsid w:val="003C4ED4"/>
    <w:rsid w:val="003C6F07"/>
    <w:rsid w:val="003C76AA"/>
    <w:rsid w:val="003D0030"/>
    <w:rsid w:val="003D0232"/>
    <w:rsid w:val="003D2387"/>
    <w:rsid w:val="003D2BDF"/>
    <w:rsid w:val="003D2D4E"/>
    <w:rsid w:val="003D3E9E"/>
    <w:rsid w:val="003D407F"/>
    <w:rsid w:val="003D6C9E"/>
    <w:rsid w:val="003D750E"/>
    <w:rsid w:val="003E0B80"/>
    <w:rsid w:val="003E0E1D"/>
    <w:rsid w:val="003E45C7"/>
    <w:rsid w:val="003E47AC"/>
    <w:rsid w:val="003E54A2"/>
    <w:rsid w:val="003E6D3E"/>
    <w:rsid w:val="003F110E"/>
    <w:rsid w:val="003F2FA1"/>
    <w:rsid w:val="003F365D"/>
    <w:rsid w:val="003F3EFE"/>
    <w:rsid w:val="003F43B3"/>
    <w:rsid w:val="003F5E0E"/>
    <w:rsid w:val="003F70E6"/>
    <w:rsid w:val="0040077F"/>
    <w:rsid w:val="004018CD"/>
    <w:rsid w:val="00402663"/>
    <w:rsid w:val="00402D21"/>
    <w:rsid w:val="004040D9"/>
    <w:rsid w:val="004049FB"/>
    <w:rsid w:val="004069F2"/>
    <w:rsid w:val="00407D11"/>
    <w:rsid w:val="004115C4"/>
    <w:rsid w:val="00411601"/>
    <w:rsid w:val="00411969"/>
    <w:rsid w:val="004131D2"/>
    <w:rsid w:val="004151A5"/>
    <w:rsid w:val="004161EC"/>
    <w:rsid w:val="004212EF"/>
    <w:rsid w:val="00421AEB"/>
    <w:rsid w:val="0042512A"/>
    <w:rsid w:val="00426DAD"/>
    <w:rsid w:val="00427B61"/>
    <w:rsid w:val="00430049"/>
    <w:rsid w:val="00430362"/>
    <w:rsid w:val="00430714"/>
    <w:rsid w:val="00431C15"/>
    <w:rsid w:val="00431FF7"/>
    <w:rsid w:val="00435475"/>
    <w:rsid w:val="00436800"/>
    <w:rsid w:val="004419E0"/>
    <w:rsid w:val="004421C1"/>
    <w:rsid w:val="004427AF"/>
    <w:rsid w:val="00443229"/>
    <w:rsid w:val="00443AA7"/>
    <w:rsid w:val="00444BF9"/>
    <w:rsid w:val="004455D0"/>
    <w:rsid w:val="00445782"/>
    <w:rsid w:val="00445E25"/>
    <w:rsid w:val="00455767"/>
    <w:rsid w:val="00456712"/>
    <w:rsid w:val="00457697"/>
    <w:rsid w:val="00460204"/>
    <w:rsid w:val="00461BBF"/>
    <w:rsid w:val="00470BE8"/>
    <w:rsid w:val="00474596"/>
    <w:rsid w:val="004761E4"/>
    <w:rsid w:val="0047671F"/>
    <w:rsid w:val="00476FFE"/>
    <w:rsid w:val="004812A1"/>
    <w:rsid w:val="00481B49"/>
    <w:rsid w:val="004844A2"/>
    <w:rsid w:val="004849AA"/>
    <w:rsid w:val="00484E08"/>
    <w:rsid w:val="00485A70"/>
    <w:rsid w:val="00485CB7"/>
    <w:rsid w:val="00486D10"/>
    <w:rsid w:val="00491163"/>
    <w:rsid w:val="00494504"/>
    <w:rsid w:val="00495098"/>
    <w:rsid w:val="004A13B2"/>
    <w:rsid w:val="004A2F99"/>
    <w:rsid w:val="004A382C"/>
    <w:rsid w:val="004A5199"/>
    <w:rsid w:val="004B05CB"/>
    <w:rsid w:val="004B2A5F"/>
    <w:rsid w:val="004B3706"/>
    <w:rsid w:val="004B51EC"/>
    <w:rsid w:val="004B79B6"/>
    <w:rsid w:val="004C568B"/>
    <w:rsid w:val="004C6847"/>
    <w:rsid w:val="004D1201"/>
    <w:rsid w:val="004D5462"/>
    <w:rsid w:val="004D6D85"/>
    <w:rsid w:val="004D7607"/>
    <w:rsid w:val="004E0569"/>
    <w:rsid w:val="004E0747"/>
    <w:rsid w:val="004E3E3F"/>
    <w:rsid w:val="004E43CB"/>
    <w:rsid w:val="004E5550"/>
    <w:rsid w:val="004E7835"/>
    <w:rsid w:val="004E7865"/>
    <w:rsid w:val="004F1D2A"/>
    <w:rsid w:val="004F3415"/>
    <w:rsid w:val="004F3EA8"/>
    <w:rsid w:val="004F4157"/>
    <w:rsid w:val="004F4470"/>
    <w:rsid w:val="00501D46"/>
    <w:rsid w:val="00507396"/>
    <w:rsid w:val="005104D7"/>
    <w:rsid w:val="00511A63"/>
    <w:rsid w:val="00511B95"/>
    <w:rsid w:val="00512478"/>
    <w:rsid w:val="00512ACC"/>
    <w:rsid w:val="00512C8F"/>
    <w:rsid w:val="00514299"/>
    <w:rsid w:val="00520D10"/>
    <w:rsid w:val="00522EC4"/>
    <w:rsid w:val="00523293"/>
    <w:rsid w:val="0052582D"/>
    <w:rsid w:val="00525E22"/>
    <w:rsid w:val="00526D96"/>
    <w:rsid w:val="005306C0"/>
    <w:rsid w:val="00531C64"/>
    <w:rsid w:val="00534F31"/>
    <w:rsid w:val="00535074"/>
    <w:rsid w:val="00535BD5"/>
    <w:rsid w:val="00541972"/>
    <w:rsid w:val="005421BF"/>
    <w:rsid w:val="005428D0"/>
    <w:rsid w:val="0054369F"/>
    <w:rsid w:val="0054382A"/>
    <w:rsid w:val="00544711"/>
    <w:rsid w:val="0054492B"/>
    <w:rsid w:val="00550921"/>
    <w:rsid w:val="00551FBB"/>
    <w:rsid w:val="00552740"/>
    <w:rsid w:val="00552F83"/>
    <w:rsid w:val="00553154"/>
    <w:rsid w:val="005551F3"/>
    <w:rsid w:val="00555520"/>
    <w:rsid w:val="0055572F"/>
    <w:rsid w:val="00555753"/>
    <w:rsid w:val="0055592C"/>
    <w:rsid w:val="00556485"/>
    <w:rsid w:val="00556A75"/>
    <w:rsid w:val="00561BD1"/>
    <w:rsid w:val="0056312A"/>
    <w:rsid w:val="00563A9B"/>
    <w:rsid w:val="00564667"/>
    <w:rsid w:val="00564BF1"/>
    <w:rsid w:val="005651B8"/>
    <w:rsid w:val="0056525B"/>
    <w:rsid w:val="005676F5"/>
    <w:rsid w:val="00570A5B"/>
    <w:rsid w:val="005716B5"/>
    <w:rsid w:val="00574FB6"/>
    <w:rsid w:val="005763EB"/>
    <w:rsid w:val="005802EA"/>
    <w:rsid w:val="005830BF"/>
    <w:rsid w:val="00584B16"/>
    <w:rsid w:val="00590C91"/>
    <w:rsid w:val="00594984"/>
    <w:rsid w:val="005953BD"/>
    <w:rsid w:val="00595F35"/>
    <w:rsid w:val="00597CB7"/>
    <w:rsid w:val="005A1AA1"/>
    <w:rsid w:val="005A32F9"/>
    <w:rsid w:val="005A6E1C"/>
    <w:rsid w:val="005B001C"/>
    <w:rsid w:val="005B2977"/>
    <w:rsid w:val="005B3E33"/>
    <w:rsid w:val="005B4CA8"/>
    <w:rsid w:val="005B7930"/>
    <w:rsid w:val="005C0748"/>
    <w:rsid w:val="005C07C2"/>
    <w:rsid w:val="005C0CCE"/>
    <w:rsid w:val="005C1D6C"/>
    <w:rsid w:val="005C33AB"/>
    <w:rsid w:val="005C33B4"/>
    <w:rsid w:val="005C55D5"/>
    <w:rsid w:val="005C5833"/>
    <w:rsid w:val="005C5C74"/>
    <w:rsid w:val="005C711B"/>
    <w:rsid w:val="005C7A76"/>
    <w:rsid w:val="005D0F33"/>
    <w:rsid w:val="005D1D0C"/>
    <w:rsid w:val="005D2734"/>
    <w:rsid w:val="005D4A00"/>
    <w:rsid w:val="005D4B0F"/>
    <w:rsid w:val="005D4CA6"/>
    <w:rsid w:val="005D5DF3"/>
    <w:rsid w:val="005E0571"/>
    <w:rsid w:val="005E6FE2"/>
    <w:rsid w:val="005F15B6"/>
    <w:rsid w:val="005F2A2E"/>
    <w:rsid w:val="005F6793"/>
    <w:rsid w:val="006008B1"/>
    <w:rsid w:val="00600D43"/>
    <w:rsid w:val="006054BF"/>
    <w:rsid w:val="00605CDA"/>
    <w:rsid w:val="00606EDE"/>
    <w:rsid w:val="0061037E"/>
    <w:rsid w:val="00610992"/>
    <w:rsid w:val="00611DA2"/>
    <w:rsid w:val="00612676"/>
    <w:rsid w:val="00613DB9"/>
    <w:rsid w:val="00613EF3"/>
    <w:rsid w:val="00615C53"/>
    <w:rsid w:val="00615F31"/>
    <w:rsid w:val="00617019"/>
    <w:rsid w:val="0061783C"/>
    <w:rsid w:val="0062066A"/>
    <w:rsid w:val="0062133C"/>
    <w:rsid w:val="00621584"/>
    <w:rsid w:val="00624E34"/>
    <w:rsid w:val="00625CF6"/>
    <w:rsid w:val="00627969"/>
    <w:rsid w:val="00634287"/>
    <w:rsid w:val="00635CB3"/>
    <w:rsid w:val="00636B3B"/>
    <w:rsid w:val="00636C9A"/>
    <w:rsid w:val="00642114"/>
    <w:rsid w:val="00643E44"/>
    <w:rsid w:val="0064566D"/>
    <w:rsid w:val="00646C63"/>
    <w:rsid w:val="0064764E"/>
    <w:rsid w:val="0065017A"/>
    <w:rsid w:val="006503B1"/>
    <w:rsid w:val="00650A7D"/>
    <w:rsid w:val="00650C00"/>
    <w:rsid w:val="00651246"/>
    <w:rsid w:val="006513E2"/>
    <w:rsid w:val="006517A7"/>
    <w:rsid w:val="00651CC8"/>
    <w:rsid w:val="00653D8F"/>
    <w:rsid w:val="00655779"/>
    <w:rsid w:val="006566EF"/>
    <w:rsid w:val="00656760"/>
    <w:rsid w:val="00660916"/>
    <w:rsid w:val="00660F2F"/>
    <w:rsid w:val="006613ED"/>
    <w:rsid w:val="00661A33"/>
    <w:rsid w:val="00662D46"/>
    <w:rsid w:val="00663CED"/>
    <w:rsid w:val="00672501"/>
    <w:rsid w:val="006735F3"/>
    <w:rsid w:val="006737A6"/>
    <w:rsid w:val="00676CC2"/>
    <w:rsid w:val="006775EF"/>
    <w:rsid w:val="006778F0"/>
    <w:rsid w:val="00677C22"/>
    <w:rsid w:val="0068121D"/>
    <w:rsid w:val="0068469D"/>
    <w:rsid w:val="0068689B"/>
    <w:rsid w:val="006913B8"/>
    <w:rsid w:val="0069145C"/>
    <w:rsid w:val="00691D00"/>
    <w:rsid w:val="00693E9D"/>
    <w:rsid w:val="00696B94"/>
    <w:rsid w:val="00696EA6"/>
    <w:rsid w:val="006A0FD1"/>
    <w:rsid w:val="006A1054"/>
    <w:rsid w:val="006A482C"/>
    <w:rsid w:val="006A72E4"/>
    <w:rsid w:val="006B5F97"/>
    <w:rsid w:val="006B727D"/>
    <w:rsid w:val="006B764A"/>
    <w:rsid w:val="006C2E89"/>
    <w:rsid w:val="006C5034"/>
    <w:rsid w:val="006C6DA9"/>
    <w:rsid w:val="006C744A"/>
    <w:rsid w:val="006C7580"/>
    <w:rsid w:val="006C7D55"/>
    <w:rsid w:val="006D0DAA"/>
    <w:rsid w:val="006D3305"/>
    <w:rsid w:val="006D3350"/>
    <w:rsid w:val="006D5279"/>
    <w:rsid w:val="006E3EB0"/>
    <w:rsid w:val="006E43BB"/>
    <w:rsid w:val="006E4B6B"/>
    <w:rsid w:val="006E6EB5"/>
    <w:rsid w:val="006F2C35"/>
    <w:rsid w:val="006F4E8E"/>
    <w:rsid w:val="006F60CC"/>
    <w:rsid w:val="006F6A7D"/>
    <w:rsid w:val="0070037E"/>
    <w:rsid w:val="007012F6"/>
    <w:rsid w:val="0070297C"/>
    <w:rsid w:val="00702E79"/>
    <w:rsid w:val="00704D9F"/>
    <w:rsid w:val="007058D0"/>
    <w:rsid w:val="007064A8"/>
    <w:rsid w:val="00706591"/>
    <w:rsid w:val="00706BE7"/>
    <w:rsid w:val="007113BF"/>
    <w:rsid w:val="00716B9D"/>
    <w:rsid w:val="00717A72"/>
    <w:rsid w:val="0072004B"/>
    <w:rsid w:val="00722A93"/>
    <w:rsid w:val="00723AD4"/>
    <w:rsid w:val="00724D0C"/>
    <w:rsid w:val="00724ED5"/>
    <w:rsid w:val="00725A36"/>
    <w:rsid w:val="00726511"/>
    <w:rsid w:val="0072656C"/>
    <w:rsid w:val="0073063C"/>
    <w:rsid w:val="007317D3"/>
    <w:rsid w:val="00731D94"/>
    <w:rsid w:val="00733D8A"/>
    <w:rsid w:val="007345F8"/>
    <w:rsid w:val="00737875"/>
    <w:rsid w:val="00744D07"/>
    <w:rsid w:val="0074606A"/>
    <w:rsid w:val="00746690"/>
    <w:rsid w:val="00751BD1"/>
    <w:rsid w:val="0075252D"/>
    <w:rsid w:val="00752B08"/>
    <w:rsid w:val="007537E3"/>
    <w:rsid w:val="00753E25"/>
    <w:rsid w:val="00753E3E"/>
    <w:rsid w:val="007540BF"/>
    <w:rsid w:val="0075461D"/>
    <w:rsid w:val="00761036"/>
    <w:rsid w:val="007629FE"/>
    <w:rsid w:val="00765957"/>
    <w:rsid w:val="00765A5D"/>
    <w:rsid w:val="007701EC"/>
    <w:rsid w:val="007706F0"/>
    <w:rsid w:val="007722FB"/>
    <w:rsid w:val="007729A4"/>
    <w:rsid w:val="007740F5"/>
    <w:rsid w:val="00775BE9"/>
    <w:rsid w:val="007766AC"/>
    <w:rsid w:val="00776C38"/>
    <w:rsid w:val="007773DA"/>
    <w:rsid w:val="00777A59"/>
    <w:rsid w:val="00780255"/>
    <w:rsid w:val="007802FE"/>
    <w:rsid w:val="00781E2C"/>
    <w:rsid w:val="007820A8"/>
    <w:rsid w:val="00783039"/>
    <w:rsid w:val="00784E31"/>
    <w:rsid w:val="007858C5"/>
    <w:rsid w:val="00787A1E"/>
    <w:rsid w:val="00790F74"/>
    <w:rsid w:val="0079335F"/>
    <w:rsid w:val="007949F5"/>
    <w:rsid w:val="0079516B"/>
    <w:rsid w:val="00796699"/>
    <w:rsid w:val="007A0672"/>
    <w:rsid w:val="007A1DCF"/>
    <w:rsid w:val="007A61EF"/>
    <w:rsid w:val="007A730E"/>
    <w:rsid w:val="007B1B39"/>
    <w:rsid w:val="007B1DD4"/>
    <w:rsid w:val="007B2CB6"/>
    <w:rsid w:val="007B39BC"/>
    <w:rsid w:val="007B3D3A"/>
    <w:rsid w:val="007B40E9"/>
    <w:rsid w:val="007B5F0D"/>
    <w:rsid w:val="007B658A"/>
    <w:rsid w:val="007B66F4"/>
    <w:rsid w:val="007C0941"/>
    <w:rsid w:val="007C09D2"/>
    <w:rsid w:val="007C25BF"/>
    <w:rsid w:val="007C2D3A"/>
    <w:rsid w:val="007C61FC"/>
    <w:rsid w:val="007D04BA"/>
    <w:rsid w:val="007D144E"/>
    <w:rsid w:val="007D2E60"/>
    <w:rsid w:val="007D3AEC"/>
    <w:rsid w:val="007D407E"/>
    <w:rsid w:val="007D41B6"/>
    <w:rsid w:val="007D6422"/>
    <w:rsid w:val="007D7632"/>
    <w:rsid w:val="007E4826"/>
    <w:rsid w:val="007E52AB"/>
    <w:rsid w:val="007F0D7C"/>
    <w:rsid w:val="007F2F94"/>
    <w:rsid w:val="007F3219"/>
    <w:rsid w:val="007F3A38"/>
    <w:rsid w:val="007F4B10"/>
    <w:rsid w:val="007F5247"/>
    <w:rsid w:val="008017DD"/>
    <w:rsid w:val="00803A45"/>
    <w:rsid w:val="00804016"/>
    <w:rsid w:val="00806D3D"/>
    <w:rsid w:val="00806F05"/>
    <w:rsid w:val="00811B52"/>
    <w:rsid w:val="008138C8"/>
    <w:rsid w:val="00816389"/>
    <w:rsid w:val="008164F5"/>
    <w:rsid w:val="008204E7"/>
    <w:rsid w:val="00821669"/>
    <w:rsid w:val="0082182F"/>
    <w:rsid w:val="008221FC"/>
    <w:rsid w:val="008238DC"/>
    <w:rsid w:val="008239E2"/>
    <w:rsid w:val="008241FE"/>
    <w:rsid w:val="00827960"/>
    <w:rsid w:val="00830573"/>
    <w:rsid w:val="008333D2"/>
    <w:rsid w:val="00834A21"/>
    <w:rsid w:val="00837091"/>
    <w:rsid w:val="00837A5B"/>
    <w:rsid w:val="008402C8"/>
    <w:rsid w:val="008412CB"/>
    <w:rsid w:val="008413E8"/>
    <w:rsid w:val="0084326E"/>
    <w:rsid w:val="00844201"/>
    <w:rsid w:val="008453AD"/>
    <w:rsid w:val="00851EC3"/>
    <w:rsid w:val="0085244A"/>
    <w:rsid w:val="00852CC3"/>
    <w:rsid w:val="00853FBF"/>
    <w:rsid w:val="008553FE"/>
    <w:rsid w:val="00857162"/>
    <w:rsid w:val="0086009E"/>
    <w:rsid w:val="00861305"/>
    <w:rsid w:val="00862261"/>
    <w:rsid w:val="008626BB"/>
    <w:rsid w:val="008666C8"/>
    <w:rsid w:val="00866DC0"/>
    <w:rsid w:val="00866E7D"/>
    <w:rsid w:val="0086703F"/>
    <w:rsid w:val="00867FA2"/>
    <w:rsid w:val="00871F19"/>
    <w:rsid w:val="00873AA3"/>
    <w:rsid w:val="0087503F"/>
    <w:rsid w:val="00876710"/>
    <w:rsid w:val="00876B51"/>
    <w:rsid w:val="00881E5F"/>
    <w:rsid w:val="00881F45"/>
    <w:rsid w:val="00882F87"/>
    <w:rsid w:val="00883701"/>
    <w:rsid w:val="008860C3"/>
    <w:rsid w:val="00886B43"/>
    <w:rsid w:val="00887FDC"/>
    <w:rsid w:val="008902F2"/>
    <w:rsid w:val="00891860"/>
    <w:rsid w:val="008931ED"/>
    <w:rsid w:val="00895536"/>
    <w:rsid w:val="00896919"/>
    <w:rsid w:val="008A1488"/>
    <w:rsid w:val="008A253A"/>
    <w:rsid w:val="008A3604"/>
    <w:rsid w:val="008A4017"/>
    <w:rsid w:val="008A683C"/>
    <w:rsid w:val="008B08A3"/>
    <w:rsid w:val="008B3277"/>
    <w:rsid w:val="008B352A"/>
    <w:rsid w:val="008B462A"/>
    <w:rsid w:val="008B49DC"/>
    <w:rsid w:val="008B4C58"/>
    <w:rsid w:val="008B5A57"/>
    <w:rsid w:val="008B7D3D"/>
    <w:rsid w:val="008C0F52"/>
    <w:rsid w:val="008C190E"/>
    <w:rsid w:val="008C38B5"/>
    <w:rsid w:val="008C3EE6"/>
    <w:rsid w:val="008C6B13"/>
    <w:rsid w:val="008C704D"/>
    <w:rsid w:val="008D5668"/>
    <w:rsid w:val="008D68AF"/>
    <w:rsid w:val="008D7BE6"/>
    <w:rsid w:val="008E3450"/>
    <w:rsid w:val="008E3A51"/>
    <w:rsid w:val="008E4851"/>
    <w:rsid w:val="008E5A8C"/>
    <w:rsid w:val="008E5F2F"/>
    <w:rsid w:val="008E6D6D"/>
    <w:rsid w:val="008E7AF9"/>
    <w:rsid w:val="008F2C16"/>
    <w:rsid w:val="008F2D70"/>
    <w:rsid w:val="008F3080"/>
    <w:rsid w:val="008F3C38"/>
    <w:rsid w:val="008F49FB"/>
    <w:rsid w:val="008F5874"/>
    <w:rsid w:val="008F58ED"/>
    <w:rsid w:val="008F6AFF"/>
    <w:rsid w:val="009009E4"/>
    <w:rsid w:val="00902188"/>
    <w:rsid w:val="009023AD"/>
    <w:rsid w:val="009023CE"/>
    <w:rsid w:val="009035F9"/>
    <w:rsid w:val="00904486"/>
    <w:rsid w:val="009044BC"/>
    <w:rsid w:val="00904925"/>
    <w:rsid w:val="0090509A"/>
    <w:rsid w:val="009050DD"/>
    <w:rsid w:val="0090538E"/>
    <w:rsid w:val="00906AEA"/>
    <w:rsid w:val="00906CF5"/>
    <w:rsid w:val="0090727B"/>
    <w:rsid w:val="009101DD"/>
    <w:rsid w:val="009114D7"/>
    <w:rsid w:val="00911CF8"/>
    <w:rsid w:val="0091281E"/>
    <w:rsid w:val="00912D5A"/>
    <w:rsid w:val="00914955"/>
    <w:rsid w:val="00915400"/>
    <w:rsid w:val="0091669C"/>
    <w:rsid w:val="0092042C"/>
    <w:rsid w:val="00922A93"/>
    <w:rsid w:val="00924389"/>
    <w:rsid w:val="009248CB"/>
    <w:rsid w:val="0092581C"/>
    <w:rsid w:val="00927C86"/>
    <w:rsid w:val="009323A9"/>
    <w:rsid w:val="00934303"/>
    <w:rsid w:val="009352F9"/>
    <w:rsid w:val="00935B07"/>
    <w:rsid w:val="00935DBE"/>
    <w:rsid w:val="00936FDC"/>
    <w:rsid w:val="0094026E"/>
    <w:rsid w:val="00941B13"/>
    <w:rsid w:val="009421B8"/>
    <w:rsid w:val="0094242A"/>
    <w:rsid w:val="00942A2B"/>
    <w:rsid w:val="00942B3E"/>
    <w:rsid w:val="00943661"/>
    <w:rsid w:val="00944CE6"/>
    <w:rsid w:val="009463DB"/>
    <w:rsid w:val="00946530"/>
    <w:rsid w:val="0094753E"/>
    <w:rsid w:val="0095055E"/>
    <w:rsid w:val="00950E9B"/>
    <w:rsid w:val="00951E8C"/>
    <w:rsid w:val="00953DD8"/>
    <w:rsid w:val="00954068"/>
    <w:rsid w:val="0095590E"/>
    <w:rsid w:val="00956876"/>
    <w:rsid w:val="009574D5"/>
    <w:rsid w:val="00957CFA"/>
    <w:rsid w:val="009601B4"/>
    <w:rsid w:val="00960449"/>
    <w:rsid w:val="00960A0E"/>
    <w:rsid w:val="0096287E"/>
    <w:rsid w:val="009646FE"/>
    <w:rsid w:val="00965496"/>
    <w:rsid w:val="0096644A"/>
    <w:rsid w:val="009674FD"/>
    <w:rsid w:val="00967E45"/>
    <w:rsid w:val="009707A3"/>
    <w:rsid w:val="00971CFC"/>
    <w:rsid w:val="00972BAF"/>
    <w:rsid w:val="009732E5"/>
    <w:rsid w:val="0097472D"/>
    <w:rsid w:val="00975131"/>
    <w:rsid w:val="00977508"/>
    <w:rsid w:val="009806C1"/>
    <w:rsid w:val="00981989"/>
    <w:rsid w:val="00981A8A"/>
    <w:rsid w:val="009824D3"/>
    <w:rsid w:val="00983028"/>
    <w:rsid w:val="00984012"/>
    <w:rsid w:val="009852A5"/>
    <w:rsid w:val="00987971"/>
    <w:rsid w:val="00987A82"/>
    <w:rsid w:val="00987F31"/>
    <w:rsid w:val="00990123"/>
    <w:rsid w:val="009931EA"/>
    <w:rsid w:val="009931F3"/>
    <w:rsid w:val="00993F26"/>
    <w:rsid w:val="009944E0"/>
    <w:rsid w:val="00996479"/>
    <w:rsid w:val="00996AB3"/>
    <w:rsid w:val="009A044F"/>
    <w:rsid w:val="009A0DDE"/>
    <w:rsid w:val="009A2A84"/>
    <w:rsid w:val="009A4515"/>
    <w:rsid w:val="009A545D"/>
    <w:rsid w:val="009A6EAA"/>
    <w:rsid w:val="009A72A3"/>
    <w:rsid w:val="009B4597"/>
    <w:rsid w:val="009B779D"/>
    <w:rsid w:val="009B7A0C"/>
    <w:rsid w:val="009B7E43"/>
    <w:rsid w:val="009C180A"/>
    <w:rsid w:val="009C1BEB"/>
    <w:rsid w:val="009C31D6"/>
    <w:rsid w:val="009C5C1F"/>
    <w:rsid w:val="009C7181"/>
    <w:rsid w:val="009C7286"/>
    <w:rsid w:val="009D54D7"/>
    <w:rsid w:val="009E19CE"/>
    <w:rsid w:val="009E1EEF"/>
    <w:rsid w:val="009E2639"/>
    <w:rsid w:val="009E3091"/>
    <w:rsid w:val="009E3AC3"/>
    <w:rsid w:val="009E44F5"/>
    <w:rsid w:val="009E534A"/>
    <w:rsid w:val="009E5825"/>
    <w:rsid w:val="009E59EB"/>
    <w:rsid w:val="009F3A87"/>
    <w:rsid w:val="009F3EA8"/>
    <w:rsid w:val="009F4866"/>
    <w:rsid w:val="009F66B3"/>
    <w:rsid w:val="009F79E5"/>
    <w:rsid w:val="00A00289"/>
    <w:rsid w:val="00A026D8"/>
    <w:rsid w:val="00A04040"/>
    <w:rsid w:val="00A04A8F"/>
    <w:rsid w:val="00A06B01"/>
    <w:rsid w:val="00A10352"/>
    <w:rsid w:val="00A110AF"/>
    <w:rsid w:val="00A1116F"/>
    <w:rsid w:val="00A134D0"/>
    <w:rsid w:val="00A137B1"/>
    <w:rsid w:val="00A141BA"/>
    <w:rsid w:val="00A15F55"/>
    <w:rsid w:val="00A211D8"/>
    <w:rsid w:val="00A21A20"/>
    <w:rsid w:val="00A22054"/>
    <w:rsid w:val="00A23077"/>
    <w:rsid w:val="00A25377"/>
    <w:rsid w:val="00A27068"/>
    <w:rsid w:val="00A32E20"/>
    <w:rsid w:val="00A334ED"/>
    <w:rsid w:val="00A33D0B"/>
    <w:rsid w:val="00A36F34"/>
    <w:rsid w:val="00A37984"/>
    <w:rsid w:val="00A4091D"/>
    <w:rsid w:val="00A4116A"/>
    <w:rsid w:val="00A425C9"/>
    <w:rsid w:val="00A43AC6"/>
    <w:rsid w:val="00A45C24"/>
    <w:rsid w:val="00A50F74"/>
    <w:rsid w:val="00A5197E"/>
    <w:rsid w:val="00A523F3"/>
    <w:rsid w:val="00A52F02"/>
    <w:rsid w:val="00A5349C"/>
    <w:rsid w:val="00A53537"/>
    <w:rsid w:val="00A537CF"/>
    <w:rsid w:val="00A54FC9"/>
    <w:rsid w:val="00A554B5"/>
    <w:rsid w:val="00A5586D"/>
    <w:rsid w:val="00A56B80"/>
    <w:rsid w:val="00A56BBE"/>
    <w:rsid w:val="00A56FDE"/>
    <w:rsid w:val="00A576D0"/>
    <w:rsid w:val="00A57EAB"/>
    <w:rsid w:val="00A57EED"/>
    <w:rsid w:val="00A60FB0"/>
    <w:rsid w:val="00A62427"/>
    <w:rsid w:val="00A626F9"/>
    <w:rsid w:val="00A627EB"/>
    <w:rsid w:val="00A62A09"/>
    <w:rsid w:val="00A6347F"/>
    <w:rsid w:val="00A65E4F"/>
    <w:rsid w:val="00A662E0"/>
    <w:rsid w:val="00A70124"/>
    <w:rsid w:val="00A712A3"/>
    <w:rsid w:val="00A71A07"/>
    <w:rsid w:val="00A76514"/>
    <w:rsid w:val="00A768A0"/>
    <w:rsid w:val="00A77D40"/>
    <w:rsid w:val="00A82465"/>
    <w:rsid w:val="00A83427"/>
    <w:rsid w:val="00A840CD"/>
    <w:rsid w:val="00A84436"/>
    <w:rsid w:val="00A848C9"/>
    <w:rsid w:val="00A85D91"/>
    <w:rsid w:val="00A92E74"/>
    <w:rsid w:val="00A932F2"/>
    <w:rsid w:val="00A94FE2"/>
    <w:rsid w:val="00A95B58"/>
    <w:rsid w:val="00A96330"/>
    <w:rsid w:val="00A9794D"/>
    <w:rsid w:val="00AA0D9C"/>
    <w:rsid w:val="00AA0FBB"/>
    <w:rsid w:val="00AA4B12"/>
    <w:rsid w:val="00AA7A32"/>
    <w:rsid w:val="00AB155B"/>
    <w:rsid w:val="00AB17EF"/>
    <w:rsid w:val="00AB4C5F"/>
    <w:rsid w:val="00AB4D19"/>
    <w:rsid w:val="00AC2DE8"/>
    <w:rsid w:val="00AC310C"/>
    <w:rsid w:val="00AC40A5"/>
    <w:rsid w:val="00AC450A"/>
    <w:rsid w:val="00AD2D2E"/>
    <w:rsid w:val="00AD5C47"/>
    <w:rsid w:val="00AD6C30"/>
    <w:rsid w:val="00AE4B18"/>
    <w:rsid w:val="00AE4DD9"/>
    <w:rsid w:val="00AE7F92"/>
    <w:rsid w:val="00AF0500"/>
    <w:rsid w:val="00AF1C44"/>
    <w:rsid w:val="00AF3A14"/>
    <w:rsid w:val="00AF56A4"/>
    <w:rsid w:val="00AF61A6"/>
    <w:rsid w:val="00AF630B"/>
    <w:rsid w:val="00AF73C1"/>
    <w:rsid w:val="00AF78AD"/>
    <w:rsid w:val="00B02939"/>
    <w:rsid w:val="00B03241"/>
    <w:rsid w:val="00B11C01"/>
    <w:rsid w:val="00B13D7C"/>
    <w:rsid w:val="00B140D2"/>
    <w:rsid w:val="00B14ED9"/>
    <w:rsid w:val="00B15792"/>
    <w:rsid w:val="00B162D6"/>
    <w:rsid w:val="00B165D1"/>
    <w:rsid w:val="00B167DF"/>
    <w:rsid w:val="00B177CA"/>
    <w:rsid w:val="00B20717"/>
    <w:rsid w:val="00B20967"/>
    <w:rsid w:val="00B212A4"/>
    <w:rsid w:val="00B21BBA"/>
    <w:rsid w:val="00B21EB6"/>
    <w:rsid w:val="00B21F24"/>
    <w:rsid w:val="00B2354F"/>
    <w:rsid w:val="00B23DD8"/>
    <w:rsid w:val="00B264CC"/>
    <w:rsid w:val="00B33834"/>
    <w:rsid w:val="00B33CFA"/>
    <w:rsid w:val="00B36067"/>
    <w:rsid w:val="00B36D1A"/>
    <w:rsid w:val="00B413E1"/>
    <w:rsid w:val="00B41E2F"/>
    <w:rsid w:val="00B42FD8"/>
    <w:rsid w:val="00B43D6D"/>
    <w:rsid w:val="00B44BA8"/>
    <w:rsid w:val="00B45F39"/>
    <w:rsid w:val="00B47651"/>
    <w:rsid w:val="00B47E3F"/>
    <w:rsid w:val="00B51BFF"/>
    <w:rsid w:val="00B51EDF"/>
    <w:rsid w:val="00B53ACE"/>
    <w:rsid w:val="00B53DF7"/>
    <w:rsid w:val="00B54356"/>
    <w:rsid w:val="00B557AC"/>
    <w:rsid w:val="00B5638C"/>
    <w:rsid w:val="00B5686F"/>
    <w:rsid w:val="00B60ABB"/>
    <w:rsid w:val="00B60B6A"/>
    <w:rsid w:val="00B6330A"/>
    <w:rsid w:val="00B635DA"/>
    <w:rsid w:val="00B646C7"/>
    <w:rsid w:val="00B65409"/>
    <w:rsid w:val="00B66643"/>
    <w:rsid w:val="00B6767D"/>
    <w:rsid w:val="00B67AE5"/>
    <w:rsid w:val="00B73DB0"/>
    <w:rsid w:val="00B7495B"/>
    <w:rsid w:val="00B75CEC"/>
    <w:rsid w:val="00B805C2"/>
    <w:rsid w:val="00B80F49"/>
    <w:rsid w:val="00B81855"/>
    <w:rsid w:val="00B81D79"/>
    <w:rsid w:val="00B82A09"/>
    <w:rsid w:val="00B84467"/>
    <w:rsid w:val="00B84667"/>
    <w:rsid w:val="00B849A2"/>
    <w:rsid w:val="00B8528E"/>
    <w:rsid w:val="00B86A66"/>
    <w:rsid w:val="00B93C99"/>
    <w:rsid w:val="00B943B2"/>
    <w:rsid w:val="00BA3890"/>
    <w:rsid w:val="00BA653C"/>
    <w:rsid w:val="00BA6C8D"/>
    <w:rsid w:val="00BA6F40"/>
    <w:rsid w:val="00BB0746"/>
    <w:rsid w:val="00BB07CE"/>
    <w:rsid w:val="00BB2BB2"/>
    <w:rsid w:val="00BB4A21"/>
    <w:rsid w:val="00BB70B8"/>
    <w:rsid w:val="00BB75A2"/>
    <w:rsid w:val="00BB7A80"/>
    <w:rsid w:val="00BC0B47"/>
    <w:rsid w:val="00BC1256"/>
    <w:rsid w:val="00BC227A"/>
    <w:rsid w:val="00BC251F"/>
    <w:rsid w:val="00BC309A"/>
    <w:rsid w:val="00BC457A"/>
    <w:rsid w:val="00BC61D1"/>
    <w:rsid w:val="00BC641C"/>
    <w:rsid w:val="00BD0A88"/>
    <w:rsid w:val="00BD1975"/>
    <w:rsid w:val="00BD215A"/>
    <w:rsid w:val="00BD248E"/>
    <w:rsid w:val="00BD430F"/>
    <w:rsid w:val="00BD724B"/>
    <w:rsid w:val="00BE2258"/>
    <w:rsid w:val="00BE41E7"/>
    <w:rsid w:val="00BE51DC"/>
    <w:rsid w:val="00BE691C"/>
    <w:rsid w:val="00BE709C"/>
    <w:rsid w:val="00BE7993"/>
    <w:rsid w:val="00BE7DC7"/>
    <w:rsid w:val="00BF1E6A"/>
    <w:rsid w:val="00BF2BD9"/>
    <w:rsid w:val="00C00BEC"/>
    <w:rsid w:val="00C03556"/>
    <w:rsid w:val="00C0366B"/>
    <w:rsid w:val="00C04F3F"/>
    <w:rsid w:val="00C0533D"/>
    <w:rsid w:val="00C05CDB"/>
    <w:rsid w:val="00C10203"/>
    <w:rsid w:val="00C105CD"/>
    <w:rsid w:val="00C11C27"/>
    <w:rsid w:val="00C130FC"/>
    <w:rsid w:val="00C13E9D"/>
    <w:rsid w:val="00C1434F"/>
    <w:rsid w:val="00C1601A"/>
    <w:rsid w:val="00C1602C"/>
    <w:rsid w:val="00C177F1"/>
    <w:rsid w:val="00C205DB"/>
    <w:rsid w:val="00C20C22"/>
    <w:rsid w:val="00C21C07"/>
    <w:rsid w:val="00C22790"/>
    <w:rsid w:val="00C3174A"/>
    <w:rsid w:val="00C31B3E"/>
    <w:rsid w:val="00C335C5"/>
    <w:rsid w:val="00C34FAA"/>
    <w:rsid w:val="00C36495"/>
    <w:rsid w:val="00C36E16"/>
    <w:rsid w:val="00C37483"/>
    <w:rsid w:val="00C424E2"/>
    <w:rsid w:val="00C434A9"/>
    <w:rsid w:val="00C44FA3"/>
    <w:rsid w:val="00C4583A"/>
    <w:rsid w:val="00C45D8F"/>
    <w:rsid w:val="00C51174"/>
    <w:rsid w:val="00C5161D"/>
    <w:rsid w:val="00C51E9E"/>
    <w:rsid w:val="00C52939"/>
    <w:rsid w:val="00C55272"/>
    <w:rsid w:val="00C578C8"/>
    <w:rsid w:val="00C61BA6"/>
    <w:rsid w:val="00C624CF"/>
    <w:rsid w:val="00C65157"/>
    <w:rsid w:val="00C66FB8"/>
    <w:rsid w:val="00C70BE2"/>
    <w:rsid w:val="00C7243A"/>
    <w:rsid w:val="00C75116"/>
    <w:rsid w:val="00C75C18"/>
    <w:rsid w:val="00C75D2F"/>
    <w:rsid w:val="00C75E81"/>
    <w:rsid w:val="00C770B0"/>
    <w:rsid w:val="00C81D13"/>
    <w:rsid w:val="00C834D6"/>
    <w:rsid w:val="00C842B6"/>
    <w:rsid w:val="00C873E7"/>
    <w:rsid w:val="00C93AF4"/>
    <w:rsid w:val="00C94673"/>
    <w:rsid w:val="00C96E17"/>
    <w:rsid w:val="00C97CCF"/>
    <w:rsid w:val="00CA104E"/>
    <w:rsid w:val="00CA44E6"/>
    <w:rsid w:val="00CA5DDE"/>
    <w:rsid w:val="00CA655C"/>
    <w:rsid w:val="00CA7B22"/>
    <w:rsid w:val="00CB0E45"/>
    <w:rsid w:val="00CB1454"/>
    <w:rsid w:val="00CB20B6"/>
    <w:rsid w:val="00CB2587"/>
    <w:rsid w:val="00CB3A34"/>
    <w:rsid w:val="00CB5D67"/>
    <w:rsid w:val="00CB6046"/>
    <w:rsid w:val="00CB7C89"/>
    <w:rsid w:val="00CB7CEE"/>
    <w:rsid w:val="00CB7EE9"/>
    <w:rsid w:val="00CC13F2"/>
    <w:rsid w:val="00CC14A4"/>
    <w:rsid w:val="00CC3666"/>
    <w:rsid w:val="00CC4DCE"/>
    <w:rsid w:val="00CC683B"/>
    <w:rsid w:val="00CC7B2A"/>
    <w:rsid w:val="00CD0998"/>
    <w:rsid w:val="00CD177F"/>
    <w:rsid w:val="00CD4C7D"/>
    <w:rsid w:val="00CD4D73"/>
    <w:rsid w:val="00CD4DA6"/>
    <w:rsid w:val="00CD5000"/>
    <w:rsid w:val="00CD7EAD"/>
    <w:rsid w:val="00CE3ADE"/>
    <w:rsid w:val="00CE5F44"/>
    <w:rsid w:val="00CE6F0A"/>
    <w:rsid w:val="00CF6BB3"/>
    <w:rsid w:val="00D02250"/>
    <w:rsid w:val="00D02F99"/>
    <w:rsid w:val="00D0344C"/>
    <w:rsid w:val="00D03926"/>
    <w:rsid w:val="00D0566F"/>
    <w:rsid w:val="00D0611F"/>
    <w:rsid w:val="00D06D6F"/>
    <w:rsid w:val="00D06FF4"/>
    <w:rsid w:val="00D10FB4"/>
    <w:rsid w:val="00D13617"/>
    <w:rsid w:val="00D14D3D"/>
    <w:rsid w:val="00D175F3"/>
    <w:rsid w:val="00D17D5A"/>
    <w:rsid w:val="00D20968"/>
    <w:rsid w:val="00D239C8"/>
    <w:rsid w:val="00D3074B"/>
    <w:rsid w:val="00D30A2B"/>
    <w:rsid w:val="00D30CBD"/>
    <w:rsid w:val="00D34F4B"/>
    <w:rsid w:val="00D35D6D"/>
    <w:rsid w:val="00D37FDA"/>
    <w:rsid w:val="00D41EC0"/>
    <w:rsid w:val="00D43434"/>
    <w:rsid w:val="00D44504"/>
    <w:rsid w:val="00D522D4"/>
    <w:rsid w:val="00D5259D"/>
    <w:rsid w:val="00D53787"/>
    <w:rsid w:val="00D55F90"/>
    <w:rsid w:val="00D600FE"/>
    <w:rsid w:val="00D62D87"/>
    <w:rsid w:val="00D649A8"/>
    <w:rsid w:val="00D65F71"/>
    <w:rsid w:val="00D65FFB"/>
    <w:rsid w:val="00D71F73"/>
    <w:rsid w:val="00D74908"/>
    <w:rsid w:val="00D75293"/>
    <w:rsid w:val="00D76815"/>
    <w:rsid w:val="00D76E23"/>
    <w:rsid w:val="00D8067C"/>
    <w:rsid w:val="00D808C6"/>
    <w:rsid w:val="00D8264F"/>
    <w:rsid w:val="00D83010"/>
    <w:rsid w:val="00D838FD"/>
    <w:rsid w:val="00D8458E"/>
    <w:rsid w:val="00D90CB9"/>
    <w:rsid w:val="00D90DAA"/>
    <w:rsid w:val="00D90E4B"/>
    <w:rsid w:val="00D913C1"/>
    <w:rsid w:val="00D91BF5"/>
    <w:rsid w:val="00D928B4"/>
    <w:rsid w:val="00D92A77"/>
    <w:rsid w:val="00D93B2F"/>
    <w:rsid w:val="00D94E18"/>
    <w:rsid w:val="00D96BB2"/>
    <w:rsid w:val="00D97629"/>
    <w:rsid w:val="00DA1B4D"/>
    <w:rsid w:val="00DA216D"/>
    <w:rsid w:val="00DA328C"/>
    <w:rsid w:val="00DA3AD6"/>
    <w:rsid w:val="00DA423B"/>
    <w:rsid w:val="00DA4E11"/>
    <w:rsid w:val="00DA5999"/>
    <w:rsid w:val="00DA67D7"/>
    <w:rsid w:val="00DA7FC0"/>
    <w:rsid w:val="00DB0273"/>
    <w:rsid w:val="00DB6C1D"/>
    <w:rsid w:val="00DC2808"/>
    <w:rsid w:val="00DC64C1"/>
    <w:rsid w:val="00DC72B1"/>
    <w:rsid w:val="00DD04E2"/>
    <w:rsid w:val="00DD3A50"/>
    <w:rsid w:val="00DD5082"/>
    <w:rsid w:val="00DD63FA"/>
    <w:rsid w:val="00DD6625"/>
    <w:rsid w:val="00DD6BC8"/>
    <w:rsid w:val="00DD6C35"/>
    <w:rsid w:val="00DD747F"/>
    <w:rsid w:val="00DD783B"/>
    <w:rsid w:val="00DE0789"/>
    <w:rsid w:val="00DE07EC"/>
    <w:rsid w:val="00DE2C0C"/>
    <w:rsid w:val="00DE4C8B"/>
    <w:rsid w:val="00DE5209"/>
    <w:rsid w:val="00DE6142"/>
    <w:rsid w:val="00DE6887"/>
    <w:rsid w:val="00DE7FCC"/>
    <w:rsid w:val="00DF3C4B"/>
    <w:rsid w:val="00E0095B"/>
    <w:rsid w:val="00E02A18"/>
    <w:rsid w:val="00E04ECF"/>
    <w:rsid w:val="00E06876"/>
    <w:rsid w:val="00E07292"/>
    <w:rsid w:val="00E12290"/>
    <w:rsid w:val="00E14357"/>
    <w:rsid w:val="00E201B9"/>
    <w:rsid w:val="00E23641"/>
    <w:rsid w:val="00E23A89"/>
    <w:rsid w:val="00E26D90"/>
    <w:rsid w:val="00E3171A"/>
    <w:rsid w:val="00E3344E"/>
    <w:rsid w:val="00E34138"/>
    <w:rsid w:val="00E3455A"/>
    <w:rsid w:val="00E37246"/>
    <w:rsid w:val="00E37A27"/>
    <w:rsid w:val="00E37C1D"/>
    <w:rsid w:val="00E407FD"/>
    <w:rsid w:val="00E40A17"/>
    <w:rsid w:val="00E415CB"/>
    <w:rsid w:val="00E44176"/>
    <w:rsid w:val="00E47972"/>
    <w:rsid w:val="00E50CE1"/>
    <w:rsid w:val="00E52631"/>
    <w:rsid w:val="00E61C32"/>
    <w:rsid w:val="00E627BE"/>
    <w:rsid w:val="00E64471"/>
    <w:rsid w:val="00E64C90"/>
    <w:rsid w:val="00E661CC"/>
    <w:rsid w:val="00E709A1"/>
    <w:rsid w:val="00E70F7B"/>
    <w:rsid w:val="00E77641"/>
    <w:rsid w:val="00E77B90"/>
    <w:rsid w:val="00E84A06"/>
    <w:rsid w:val="00E87BA3"/>
    <w:rsid w:val="00E91117"/>
    <w:rsid w:val="00E92B37"/>
    <w:rsid w:val="00E93B0A"/>
    <w:rsid w:val="00E96D10"/>
    <w:rsid w:val="00EA04DC"/>
    <w:rsid w:val="00EA38CD"/>
    <w:rsid w:val="00EA4ADC"/>
    <w:rsid w:val="00EA50B1"/>
    <w:rsid w:val="00EA55D5"/>
    <w:rsid w:val="00EA60D1"/>
    <w:rsid w:val="00EB0CBC"/>
    <w:rsid w:val="00EB1F6C"/>
    <w:rsid w:val="00EB4D0C"/>
    <w:rsid w:val="00EB52F2"/>
    <w:rsid w:val="00EB5C10"/>
    <w:rsid w:val="00EC1CF2"/>
    <w:rsid w:val="00EC2B97"/>
    <w:rsid w:val="00EC2DBA"/>
    <w:rsid w:val="00EC35B5"/>
    <w:rsid w:val="00ED0774"/>
    <w:rsid w:val="00ED539D"/>
    <w:rsid w:val="00ED5C7B"/>
    <w:rsid w:val="00EE0804"/>
    <w:rsid w:val="00EE4FD5"/>
    <w:rsid w:val="00EE5C8D"/>
    <w:rsid w:val="00EE6EFD"/>
    <w:rsid w:val="00EF1341"/>
    <w:rsid w:val="00EF1B86"/>
    <w:rsid w:val="00EF20EB"/>
    <w:rsid w:val="00EF29C7"/>
    <w:rsid w:val="00EF3C07"/>
    <w:rsid w:val="00EF576D"/>
    <w:rsid w:val="00EF79F9"/>
    <w:rsid w:val="00F03FB8"/>
    <w:rsid w:val="00F045A1"/>
    <w:rsid w:val="00F0543E"/>
    <w:rsid w:val="00F05770"/>
    <w:rsid w:val="00F0751D"/>
    <w:rsid w:val="00F100B4"/>
    <w:rsid w:val="00F12140"/>
    <w:rsid w:val="00F12F59"/>
    <w:rsid w:val="00F13E82"/>
    <w:rsid w:val="00F16DAC"/>
    <w:rsid w:val="00F16E94"/>
    <w:rsid w:val="00F17AD0"/>
    <w:rsid w:val="00F17E0A"/>
    <w:rsid w:val="00F21246"/>
    <w:rsid w:val="00F21CE7"/>
    <w:rsid w:val="00F22A17"/>
    <w:rsid w:val="00F236B8"/>
    <w:rsid w:val="00F25748"/>
    <w:rsid w:val="00F2602F"/>
    <w:rsid w:val="00F271EA"/>
    <w:rsid w:val="00F27404"/>
    <w:rsid w:val="00F274A2"/>
    <w:rsid w:val="00F3225A"/>
    <w:rsid w:val="00F323CC"/>
    <w:rsid w:val="00F32DC0"/>
    <w:rsid w:val="00F36187"/>
    <w:rsid w:val="00F40AD8"/>
    <w:rsid w:val="00F41DAE"/>
    <w:rsid w:val="00F420E9"/>
    <w:rsid w:val="00F42E7A"/>
    <w:rsid w:val="00F434BE"/>
    <w:rsid w:val="00F43981"/>
    <w:rsid w:val="00F46B3B"/>
    <w:rsid w:val="00F47B74"/>
    <w:rsid w:val="00F53321"/>
    <w:rsid w:val="00F540D1"/>
    <w:rsid w:val="00F546C0"/>
    <w:rsid w:val="00F54984"/>
    <w:rsid w:val="00F55D30"/>
    <w:rsid w:val="00F57787"/>
    <w:rsid w:val="00F57BD1"/>
    <w:rsid w:val="00F602ED"/>
    <w:rsid w:val="00F60E27"/>
    <w:rsid w:val="00F62960"/>
    <w:rsid w:val="00F62AE1"/>
    <w:rsid w:val="00F74123"/>
    <w:rsid w:val="00F8190E"/>
    <w:rsid w:val="00F821F3"/>
    <w:rsid w:val="00F832E1"/>
    <w:rsid w:val="00F83CB0"/>
    <w:rsid w:val="00F83EC6"/>
    <w:rsid w:val="00F8472B"/>
    <w:rsid w:val="00F855BC"/>
    <w:rsid w:val="00F86CEF"/>
    <w:rsid w:val="00F86EE8"/>
    <w:rsid w:val="00F92430"/>
    <w:rsid w:val="00FA2D70"/>
    <w:rsid w:val="00FA37A3"/>
    <w:rsid w:val="00FA422D"/>
    <w:rsid w:val="00FA53A8"/>
    <w:rsid w:val="00FA61A0"/>
    <w:rsid w:val="00FA715E"/>
    <w:rsid w:val="00FB1DC8"/>
    <w:rsid w:val="00FB21B8"/>
    <w:rsid w:val="00FB2803"/>
    <w:rsid w:val="00FB4A92"/>
    <w:rsid w:val="00FC1D15"/>
    <w:rsid w:val="00FC1FFD"/>
    <w:rsid w:val="00FC23EB"/>
    <w:rsid w:val="00FC3CAA"/>
    <w:rsid w:val="00FC4636"/>
    <w:rsid w:val="00FC6D65"/>
    <w:rsid w:val="00FD24A3"/>
    <w:rsid w:val="00FD2C98"/>
    <w:rsid w:val="00FD41D4"/>
    <w:rsid w:val="00FD4805"/>
    <w:rsid w:val="00FD4FBF"/>
    <w:rsid w:val="00FE05AF"/>
    <w:rsid w:val="00FE1047"/>
    <w:rsid w:val="00FE147B"/>
    <w:rsid w:val="00FE2B17"/>
    <w:rsid w:val="00FE448F"/>
    <w:rsid w:val="00FE557C"/>
    <w:rsid w:val="00FF0F75"/>
    <w:rsid w:val="00FF2913"/>
    <w:rsid w:val="00FF37EC"/>
    <w:rsid w:val="00FF44E6"/>
    <w:rsid w:val="00FF7C82"/>
    <w:rsid w:val="047C4DFB"/>
    <w:rsid w:val="099A09D6"/>
    <w:rsid w:val="0A431DBB"/>
    <w:rsid w:val="0B45553A"/>
    <w:rsid w:val="0C232BA4"/>
    <w:rsid w:val="0F272C8B"/>
    <w:rsid w:val="101B6671"/>
    <w:rsid w:val="107A781C"/>
    <w:rsid w:val="14685CC3"/>
    <w:rsid w:val="192E3867"/>
    <w:rsid w:val="1A7055FE"/>
    <w:rsid w:val="1C7D7059"/>
    <w:rsid w:val="1D6828E8"/>
    <w:rsid w:val="1EC00EAA"/>
    <w:rsid w:val="1FE844DF"/>
    <w:rsid w:val="21031D91"/>
    <w:rsid w:val="21413701"/>
    <w:rsid w:val="23A25BD1"/>
    <w:rsid w:val="252577C7"/>
    <w:rsid w:val="26177BED"/>
    <w:rsid w:val="26AB3A28"/>
    <w:rsid w:val="27F350B9"/>
    <w:rsid w:val="2CD97DBF"/>
    <w:rsid w:val="2D1F5F36"/>
    <w:rsid w:val="2DC80BB2"/>
    <w:rsid w:val="2E851350"/>
    <w:rsid w:val="3098505F"/>
    <w:rsid w:val="30E51345"/>
    <w:rsid w:val="310B5844"/>
    <w:rsid w:val="33537EC9"/>
    <w:rsid w:val="34511359"/>
    <w:rsid w:val="36E302CD"/>
    <w:rsid w:val="391025F1"/>
    <w:rsid w:val="3C6C5DE2"/>
    <w:rsid w:val="3D396F23"/>
    <w:rsid w:val="3D760A29"/>
    <w:rsid w:val="3E2F6FAC"/>
    <w:rsid w:val="3F0A5122"/>
    <w:rsid w:val="3F26041D"/>
    <w:rsid w:val="3F940061"/>
    <w:rsid w:val="40D9244B"/>
    <w:rsid w:val="4425219F"/>
    <w:rsid w:val="45A823A6"/>
    <w:rsid w:val="45FD25E9"/>
    <w:rsid w:val="461B5C63"/>
    <w:rsid w:val="4AFE4B1E"/>
    <w:rsid w:val="4D1630FE"/>
    <w:rsid w:val="4EDC464B"/>
    <w:rsid w:val="50736FD6"/>
    <w:rsid w:val="53627C17"/>
    <w:rsid w:val="559F1544"/>
    <w:rsid w:val="5C5D63A7"/>
    <w:rsid w:val="5CAD71F7"/>
    <w:rsid w:val="5DF855D2"/>
    <w:rsid w:val="5E4B235E"/>
    <w:rsid w:val="710E4EB3"/>
    <w:rsid w:val="720D6D29"/>
    <w:rsid w:val="74E3534E"/>
    <w:rsid w:val="753B465D"/>
    <w:rsid w:val="78E46578"/>
    <w:rsid w:val="7AF955A7"/>
    <w:rsid w:val="7CC876FF"/>
    <w:rsid w:val="7E7A1445"/>
    <w:rsid w:val="7E822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1"/>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ascii="宋体" w:hAnsi="华文宋体"/>
      <w:b/>
      <w:kern w:val="44"/>
      <w:sz w:val="52"/>
      <w:szCs w:val="20"/>
    </w:rPr>
  </w:style>
  <w:style w:type="paragraph" w:styleId="3">
    <w:name w:val="heading 2"/>
    <w:basedOn w:val="1"/>
    <w:next w:val="1"/>
    <w:qFormat/>
    <w:uiPriority w:val="0"/>
    <w:pPr>
      <w:keepNext/>
      <w:widowControl/>
      <w:numPr>
        <w:ilvl w:val="1"/>
        <w:numId w:val="1"/>
      </w:numPr>
      <w:spacing w:before="240" w:after="60"/>
      <w:jc w:val="left"/>
      <w:outlineLvl w:val="1"/>
    </w:pPr>
    <w:rPr>
      <w:rFonts w:ascii="Arial" w:hAnsi="Arial" w:eastAsia="华文宋体"/>
      <w:b/>
      <w:i/>
      <w:kern w:val="0"/>
      <w:sz w:val="28"/>
      <w:szCs w:val="20"/>
    </w:rPr>
  </w:style>
  <w:style w:type="paragraph" w:styleId="4">
    <w:name w:val="heading 3"/>
    <w:basedOn w:val="1"/>
    <w:next w:val="1"/>
    <w:qFormat/>
    <w:uiPriority w:val="0"/>
    <w:pPr>
      <w:keepNext/>
      <w:widowControl/>
      <w:numPr>
        <w:ilvl w:val="2"/>
        <w:numId w:val="1"/>
      </w:numPr>
      <w:tabs>
        <w:tab w:val="left" w:pos="432"/>
      </w:tabs>
      <w:spacing w:before="240" w:after="60"/>
      <w:jc w:val="left"/>
      <w:outlineLvl w:val="2"/>
    </w:pPr>
    <w:rPr>
      <w:rFonts w:ascii="Arial" w:hAnsi="Arial"/>
      <w:b/>
      <w:kern w:val="0"/>
      <w:sz w:val="32"/>
      <w:szCs w:val="20"/>
    </w:rPr>
  </w:style>
  <w:style w:type="paragraph" w:styleId="5">
    <w:name w:val="heading 4"/>
    <w:basedOn w:val="1"/>
    <w:next w:val="1"/>
    <w:qFormat/>
    <w:uiPriority w:val="0"/>
    <w:pPr>
      <w:widowControl/>
      <w:numPr>
        <w:ilvl w:val="3"/>
        <w:numId w:val="1"/>
      </w:numPr>
      <w:tabs>
        <w:tab w:val="left" w:pos="432"/>
      </w:tabs>
      <w:spacing w:before="120" w:after="120" w:line="360" w:lineRule="auto"/>
      <w:outlineLvl w:val="3"/>
    </w:pPr>
    <w:rPr>
      <w:rFonts w:ascii="华文宋体" w:hAnsi="华文宋体"/>
      <w:b/>
      <w:kern w:val="0"/>
      <w:szCs w:val="20"/>
    </w:rPr>
  </w:style>
  <w:style w:type="paragraph" w:styleId="6">
    <w:name w:val="heading 5"/>
    <w:basedOn w:val="1"/>
    <w:next w:val="1"/>
    <w:qFormat/>
    <w:uiPriority w:val="0"/>
    <w:pPr>
      <w:widowControl/>
      <w:numPr>
        <w:ilvl w:val="4"/>
        <w:numId w:val="1"/>
      </w:numPr>
      <w:spacing w:before="240" w:after="60"/>
      <w:jc w:val="left"/>
      <w:outlineLvl w:val="4"/>
    </w:pPr>
    <w:rPr>
      <w:rFonts w:ascii="华文宋体" w:hAnsi="华文宋体" w:eastAsia="华文宋体"/>
      <w:b/>
      <w:i/>
      <w:kern w:val="0"/>
      <w:sz w:val="26"/>
      <w:szCs w:val="20"/>
    </w:rPr>
  </w:style>
  <w:style w:type="paragraph" w:styleId="7">
    <w:name w:val="heading 6"/>
    <w:basedOn w:val="1"/>
    <w:next w:val="1"/>
    <w:qFormat/>
    <w:uiPriority w:val="0"/>
    <w:pPr>
      <w:widowControl/>
      <w:numPr>
        <w:ilvl w:val="5"/>
        <w:numId w:val="1"/>
      </w:numPr>
      <w:spacing w:before="240" w:after="60"/>
      <w:jc w:val="left"/>
      <w:outlineLvl w:val="5"/>
    </w:pPr>
    <w:rPr>
      <w:rFonts w:ascii="华文宋体" w:hAnsi="华文宋体" w:eastAsia="华文宋体"/>
      <w:b/>
      <w:kern w:val="0"/>
      <w:sz w:val="22"/>
      <w:szCs w:val="20"/>
    </w:rPr>
  </w:style>
  <w:style w:type="paragraph" w:styleId="8">
    <w:name w:val="heading 7"/>
    <w:basedOn w:val="1"/>
    <w:next w:val="1"/>
    <w:qFormat/>
    <w:uiPriority w:val="0"/>
    <w:pPr>
      <w:widowControl/>
      <w:numPr>
        <w:ilvl w:val="6"/>
        <w:numId w:val="1"/>
      </w:numPr>
      <w:spacing w:before="240" w:after="60"/>
      <w:jc w:val="left"/>
      <w:outlineLvl w:val="6"/>
    </w:pPr>
    <w:rPr>
      <w:rFonts w:ascii="华文宋体" w:hAnsi="华文宋体" w:eastAsia="华文宋体"/>
      <w:kern w:val="0"/>
      <w:szCs w:val="20"/>
    </w:rPr>
  </w:style>
  <w:style w:type="paragraph" w:styleId="9">
    <w:name w:val="heading 8"/>
    <w:basedOn w:val="1"/>
    <w:next w:val="1"/>
    <w:qFormat/>
    <w:uiPriority w:val="0"/>
    <w:pPr>
      <w:widowControl/>
      <w:numPr>
        <w:ilvl w:val="7"/>
        <w:numId w:val="1"/>
      </w:numPr>
      <w:spacing w:before="240" w:after="60"/>
      <w:jc w:val="left"/>
      <w:outlineLvl w:val="7"/>
    </w:pPr>
    <w:rPr>
      <w:rFonts w:ascii="华文宋体" w:hAnsi="华文宋体" w:eastAsia="华文宋体"/>
      <w:i/>
      <w:kern w:val="0"/>
      <w:szCs w:val="20"/>
    </w:rPr>
  </w:style>
  <w:style w:type="paragraph" w:styleId="10">
    <w:name w:val="heading 9"/>
    <w:basedOn w:val="1"/>
    <w:next w:val="1"/>
    <w:qFormat/>
    <w:uiPriority w:val="0"/>
    <w:pPr>
      <w:widowControl/>
      <w:numPr>
        <w:ilvl w:val="8"/>
        <w:numId w:val="1"/>
      </w:numPr>
      <w:spacing w:before="240" w:after="60"/>
      <w:jc w:val="left"/>
      <w:outlineLvl w:val="8"/>
    </w:pPr>
    <w:rPr>
      <w:rFonts w:ascii="Arial" w:hAnsi="Arial" w:eastAsia="华文宋体"/>
      <w:kern w:val="0"/>
      <w:sz w:val="22"/>
      <w:szCs w:val="20"/>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ind w:firstLine="420"/>
      <w:jc w:val="left"/>
    </w:pPr>
    <w:rPr>
      <w:kern w:val="0"/>
      <w:sz w:val="20"/>
      <w:szCs w:val="20"/>
    </w:rPr>
  </w:style>
  <w:style w:type="paragraph" w:styleId="12">
    <w:name w:val="Document Map"/>
    <w:basedOn w:val="1"/>
    <w:semiHidden/>
    <w:qFormat/>
    <w:uiPriority w:val="0"/>
    <w:pPr>
      <w:shd w:val="clear" w:color="auto" w:fill="000080"/>
    </w:pPr>
  </w:style>
  <w:style w:type="paragraph" w:styleId="13">
    <w:name w:val="annotation text"/>
    <w:basedOn w:val="1"/>
    <w:link w:val="43"/>
    <w:qFormat/>
    <w:uiPriority w:val="99"/>
    <w:pPr>
      <w:jc w:val="left"/>
    </w:pPr>
    <w:rPr>
      <w:sz w:val="21"/>
    </w:rPr>
  </w:style>
  <w:style w:type="paragraph" w:styleId="14">
    <w:name w:val="Salutation"/>
    <w:basedOn w:val="1"/>
    <w:next w:val="1"/>
    <w:link w:val="42"/>
    <w:qFormat/>
    <w:uiPriority w:val="0"/>
    <w:rPr>
      <w:sz w:val="28"/>
      <w:szCs w:val="20"/>
    </w:rPr>
  </w:style>
  <w:style w:type="paragraph" w:styleId="15">
    <w:name w:val="Body Text Indent"/>
    <w:basedOn w:val="1"/>
    <w:qFormat/>
    <w:uiPriority w:val="0"/>
    <w:pPr>
      <w:spacing w:line="440" w:lineRule="exact"/>
      <w:ind w:firstLine="420"/>
    </w:pPr>
    <w:rPr>
      <w:rFonts w:ascii="宋体"/>
      <w:szCs w:val="24"/>
    </w:rPr>
  </w:style>
  <w:style w:type="paragraph" w:styleId="16">
    <w:name w:val="Plain Text"/>
    <w:basedOn w:val="1"/>
    <w:link w:val="47"/>
    <w:qFormat/>
    <w:uiPriority w:val="0"/>
    <w:rPr>
      <w:rFonts w:ascii="宋体" w:hAnsi="Courier New"/>
      <w:szCs w:val="20"/>
    </w:rPr>
  </w:style>
  <w:style w:type="paragraph" w:styleId="17">
    <w:name w:val="Date"/>
    <w:basedOn w:val="1"/>
    <w:next w:val="1"/>
    <w:qFormat/>
    <w:uiPriority w:val="0"/>
    <w:rPr>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49"/>
    <w:qFormat/>
    <w:uiPriority w:val="99"/>
    <w:pPr>
      <w:tabs>
        <w:tab w:val="center" w:pos="4153"/>
        <w:tab w:val="right" w:pos="8306"/>
      </w:tabs>
      <w:snapToGrid w:val="0"/>
      <w:jc w:val="left"/>
    </w:pPr>
    <w:rPr>
      <w:sz w:val="18"/>
      <w:szCs w:val="18"/>
    </w:rPr>
  </w:style>
  <w:style w:type="paragraph" w:styleId="21">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3">
    <w:name w:val="annotation subject"/>
    <w:basedOn w:val="13"/>
    <w:next w:val="13"/>
    <w:link w:val="44"/>
    <w:qFormat/>
    <w:uiPriority w:val="0"/>
    <w:rPr>
      <w:b/>
      <w:bCs/>
    </w:rPr>
  </w:style>
  <w:style w:type="table" w:styleId="25">
    <w:name w:val="Table Grid"/>
    <w:basedOn w:val="24"/>
    <w:qFormat/>
    <w:uiPriority w:val="0"/>
    <w:pPr>
      <w:widowControl w:val="0"/>
      <w:jc w:val="both"/>
    </w:pPr>
    <w:rPr>
      <w:rFonts w:ascii="Times" w:hAnsi="Times" w:cs="Tim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qFormat/>
    <w:uiPriority w:val="0"/>
    <w:rPr>
      <w:rFonts w:cs="Times New Roman"/>
    </w:rPr>
  </w:style>
  <w:style w:type="character" w:styleId="29">
    <w:name w:val="Emphasis"/>
    <w:basedOn w:val="26"/>
    <w:qFormat/>
    <w:uiPriority w:val="0"/>
    <w:rPr>
      <w:i/>
      <w:iCs/>
    </w:rPr>
  </w:style>
  <w:style w:type="character" w:styleId="30">
    <w:name w:val="Hyperlink"/>
    <w:qFormat/>
    <w:uiPriority w:val="0"/>
    <w:rPr>
      <w:color w:val="0000FF"/>
      <w:u w:val="single"/>
    </w:rPr>
  </w:style>
  <w:style w:type="character" w:styleId="31">
    <w:name w:val="annotation reference"/>
    <w:qFormat/>
    <w:uiPriority w:val="0"/>
    <w:rPr>
      <w:sz w:val="21"/>
      <w:szCs w:val="21"/>
    </w:rPr>
  </w:style>
  <w:style w:type="paragraph" w:customStyle="1" w:styleId="32">
    <w:name w:val="Char"/>
    <w:basedOn w:val="1"/>
    <w:qFormat/>
    <w:uiPriority w:val="0"/>
    <w:pPr>
      <w:snapToGrid w:val="0"/>
      <w:spacing w:line="360" w:lineRule="auto"/>
      <w:ind w:firstLine="200" w:firstLineChars="200"/>
    </w:pPr>
    <w:rPr>
      <w:rFonts w:eastAsia="仿宋_GB2312"/>
      <w:szCs w:val="24"/>
    </w:rPr>
  </w:style>
  <w:style w:type="paragraph" w:customStyle="1" w:styleId="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xl58"/>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35">
    <w:name w:val="Char1"/>
    <w:basedOn w:val="1"/>
    <w:qFormat/>
    <w:uiPriority w:val="0"/>
    <w:pPr>
      <w:snapToGrid w:val="0"/>
      <w:spacing w:line="360" w:lineRule="auto"/>
      <w:ind w:firstLine="200" w:firstLineChars="200"/>
    </w:pPr>
    <w:rPr>
      <w:rFonts w:eastAsia="仿宋_GB2312"/>
      <w:szCs w:val="24"/>
    </w:rPr>
  </w:style>
  <w:style w:type="paragraph" w:customStyle="1" w:styleId="36">
    <w:name w:val="6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7">
    <w:name w:val="Char1 Char Char Char"/>
    <w:basedOn w:val="1"/>
    <w:qFormat/>
    <w:uiPriority w:val="0"/>
    <w:rPr>
      <w:rFonts w:ascii="Tahoma" w:hAnsi="Tahoma"/>
      <w:szCs w:val="20"/>
    </w:rPr>
  </w:style>
  <w:style w:type="paragraph" w:customStyle="1" w:styleId="38">
    <w:name w:val="Char Char Char Char Char Char Char Char Char Char Char Char Char Char Char Char Char Char Char Char Char Char Char Char Char"/>
    <w:basedOn w:val="1"/>
    <w:qFormat/>
    <w:uiPriority w:val="0"/>
    <w:rPr>
      <w:rFonts w:ascii="Tahoma" w:hAnsi="Tahoma"/>
      <w:szCs w:val="20"/>
    </w:rPr>
  </w:style>
  <w:style w:type="paragraph" w:customStyle="1" w:styleId="39">
    <w:name w:val="Char Char Char"/>
    <w:basedOn w:val="1"/>
    <w:qFormat/>
    <w:uiPriority w:val="0"/>
    <w:rPr>
      <w:szCs w:val="24"/>
    </w:rPr>
  </w:style>
  <w:style w:type="paragraph" w:customStyle="1" w:styleId="40">
    <w:name w:val="样式1"/>
    <w:basedOn w:val="1"/>
    <w:qFormat/>
    <w:uiPriority w:val="0"/>
    <w:pPr>
      <w:spacing w:line="360" w:lineRule="atLeast"/>
    </w:pPr>
    <w:rPr>
      <w:spacing w:val="-20"/>
      <w:szCs w:val="24"/>
    </w:rPr>
  </w:style>
  <w:style w:type="paragraph" w:customStyle="1" w:styleId="41">
    <w:name w:val="Char Char Char Char"/>
    <w:basedOn w:val="1"/>
    <w:qFormat/>
    <w:uiPriority w:val="0"/>
    <w:pPr>
      <w:snapToGrid w:val="0"/>
      <w:spacing w:line="360" w:lineRule="auto"/>
      <w:ind w:firstLine="200" w:firstLineChars="200"/>
    </w:pPr>
    <w:rPr>
      <w:rFonts w:eastAsia="仿宋_GB2312"/>
      <w:szCs w:val="24"/>
    </w:rPr>
  </w:style>
  <w:style w:type="character" w:customStyle="1" w:styleId="42">
    <w:name w:val="称呼 Char"/>
    <w:link w:val="14"/>
    <w:qFormat/>
    <w:uiPriority w:val="0"/>
    <w:rPr>
      <w:kern w:val="2"/>
      <w:sz w:val="28"/>
    </w:rPr>
  </w:style>
  <w:style w:type="character" w:customStyle="1" w:styleId="43">
    <w:name w:val="批注文字 Char"/>
    <w:link w:val="13"/>
    <w:qFormat/>
    <w:uiPriority w:val="0"/>
    <w:rPr>
      <w:kern w:val="2"/>
      <w:sz w:val="21"/>
      <w:szCs w:val="21"/>
    </w:rPr>
  </w:style>
  <w:style w:type="character" w:customStyle="1" w:styleId="44">
    <w:name w:val="批注主题 Char"/>
    <w:link w:val="23"/>
    <w:qFormat/>
    <w:uiPriority w:val="0"/>
    <w:rPr>
      <w:b/>
      <w:bCs/>
      <w:kern w:val="2"/>
      <w:sz w:val="21"/>
      <w:szCs w:val="21"/>
    </w:rPr>
  </w:style>
  <w:style w:type="paragraph" w:styleId="45">
    <w:name w:val="List Paragraph"/>
    <w:basedOn w:val="1"/>
    <w:qFormat/>
    <w:uiPriority w:val="99"/>
    <w:pPr>
      <w:ind w:firstLine="420" w:firstLineChars="200"/>
    </w:pPr>
    <w:rPr>
      <w:rFonts w:ascii="Calibri" w:hAnsi="Calibri"/>
      <w:szCs w:val="22"/>
    </w:rPr>
  </w:style>
  <w:style w:type="paragraph" w:customStyle="1" w:styleId="46">
    <w:name w:val="样式 首行缩进:  2 字符 行距: 多倍行距 1.75 字行"/>
    <w:basedOn w:val="1"/>
    <w:qFormat/>
    <w:uiPriority w:val="0"/>
    <w:pPr>
      <w:spacing w:line="420" w:lineRule="auto"/>
      <w:ind w:firstLine="480" w:firstLineChars="200"/>
    </w:pPr>
    <w:rPr>
      <w:rFonts w:cs="宋体"/>
      <w:szCs w:val="24"/>
      <w:lang w:bidi="he-IL"/>
    </w:rPr>
  </w:style>
  <w:style w:type="character" w:customStyle="1" w:styleId="47">
    <w:name w:val="纯文本 Char"/>
    <w:basedOn w:val="26"/>
    <w:link w:val="16"/>
    <w:qFormat/>
    <w:uiPriority w:val="0"/>
    <w:rPr>
      <w:rFonts w:ascii="宋体" w:hAnsi="Courier New"/>
      <w:kern w:val="2"/>
      <w:sz w:val="21"/>
    </w:rPr>
  </w:style>
  <w:style w:type="paragraph" w:customStyle="1" w:styleId="48">
    <w:name w:val="报告正文"/>
    <w:basedOn w:val="1"/>
    <w:qFormat/>
    <w:uiPriority w:val="0"/>
    <w:pPr>
      <w:adjustRightInd w:val="0"/>
      <w:snapToGrid w:val="0"/>
      <w:spacing w:line="288" w:lineRule="auto"/>
      <w:ind w:left="3060" w:leftChars="1700"/>
    </w:pPr>
    <w:rPr>
      <w:rFonts w:ascii="华文细黑" w:hAnsi="华文细黑" w:eastAsia="华文细黑" w:cs="宋体"/>
      <w:sz w:val="21"/>
      <w:szCs w:val="20"/>
    </w:rPr>
  </w:style>
  <w:style w:type="character" w:customStyle="1" w:styleId="49">
    <w:name w:val="页脚 Char"/>
    <w:basedOn w:val="26"/>
    <w:link w:val="20"/>
    <w:qFormat/>
    <w:uiPriority w:val="99"/>
    <w:rPr>
      <w:rFonts w:ascii="Times New Roman" w:hAnsi="Times New Roman"/>
      <w:kern w:val="2"/>
      <w:sz w:val="18"/>
      <w:szCs w:val="18"/>
    </w:rPr>
  </w:style>
  <w:style w:type="character" w:customStyle="1" w:styleId="50">
    <w:name w:val="样式 Char"/>
    <w:link w:val="51"/>
    <w:uiPriority w:val="0"/>
    <w:rPr>
      <w:rFonts w:ascii="宋体" w:hAnsi="宋体" w:cs="宋体"/>
      <w:sz w:val="21"/>
      <w:szCs w:val="24"/>
    </w:rPr>
  </w:style>
  <w:style w:type="paragraph" w:customStyle="1" w:styleId="51">
    <w:name w:val="样式"/>
    <w:link w:val="50"/>
    <w:qFormat/>
    <w:uiPriority w:val="0"/>
    <w:pPr>
      <w:widowControl w:val="0"/>
      <w:autoSpaceDE w:val="0"/>
      <w:autoSpaceDN w:val="0"/>
      <w:adjustRightInd w:val="0"/>
    </w:pPr>
    <w:rPr>
      <w:rFonts w:ascii="宋体" w:hAnsi="宋体" w:eastAsia="宋体" w:cs="宋体"/>
      <w:sz w:val="21"/>
      <w:szCs w:val="24"/>
      <w:lang w:val="en-US" w:eastAsia="zh-CN" w:bidi="ar-SA"/>
    </w:rPr>
  </w:style>
  <w:style w:type="character" w:customStyle="1" w:styleId="52">
    <w:name w:val="批注文字 字符"/>
    <w:qFormat/>
    <w:uiPriority w:val="99"/>
    <w:rPr>
      <w:rFonts w:ascii="Calibri" w:hAnsi="Calibri" w:eastAsia="宋体" w:cs="Times New Roman"/>
      <w:kern w:val="2"/>
      <w:sz w:val="21"/>
      <w:szCs w:val="24"/>
    </w:rPr>
  </w:style>
  <w:style w:type="paragraph" w:customStyle="1" w:styleId="53">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54">
    <w:name w:val="页眉 Char"/>
    <w:basedOn w:val="26"/>
    <w:link w:val="21"/>
    <w:qFormat/>
    <w:uiPriority w:val="99"/>
    <w:rPr>
      <w:rFonts w:ascii="Times New Roman" w:hAnsi="Times New Roman"/>
      <w:kern w:val="2"/>
      <w:sz w:val="18"/>
      <w:szCs w:val="18"/>
    </w:rPr>
  </w:style>
  <w:style w:type="paragraph" w:customStyle="1" w:styleId="55">
    <w:name w:val="招标文件正文"/>
    <w:basedOn w:val="1"/>
    <w:link w:val="56"/>
    <w:qFormat/>
    <w:uiPriority w:val="0"/>
    <w:pPr>
      <w:spacing w:line="360" w:lineRule="auto"/>
      <w:ind w:firstLine="200" w:firstLineChars="200"/>
      <w:jc w:val="left"/>
    </w:pPr>
    <w:rPr>
      <w:sz w:val="21"/>
      <w:szCs w:val="24"/>
    </w:rPr>
  </w:style>
  <w:style w:type="character" w:customStyle="1" w:styleId="56">
    <w:name w:val="招标文件正文 Char"/>
    <w:link w:val="55"/>
    <w:qFormat/>
    <w:locked/>
    <w:uiPriority w:val="0"/>
    <w:rPr>
      <w:rFonts w:ascii="Times New Roman" w:hAnsi="Times New Roman"/>
      <w:kern w:val="2"/>
      <w:sz w:val="21"/>
      <w:szCs w:val="24"/>
    </w:rPr>
  </w:style>
  <w:style w:type="paragraph" w:customStyle="1" w:styleId="57">
    <w:name w:val="Normal_0"/>
    <w:qFormat/>
    <w:uiPriority w:val="0"/>
    <w:pPr>
      <w:widowControl w:val="0"/>
      <w:jc w:val="both"/>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82C3F-69E8-4656-9082-DAC8F86F50BA}">
  <ds:schemaRefs/>
</ds:datastoreItem>
</file>

<file path=docProps/app.xml><?xml version="1.0" encoding="utf-8"?>
<Properties xmlns="http://schemas.openxmlformats.org/officeDocument/2006/extended-properties" xmlns:vt="http://schemas.openxmlformats.org/officeDocument/2006/docPropsVTypes">
  <Template>Normal</Template>
  <Company>GHK</Company>
  <Pages>46</Pages>
  <Words>2982</Words>
  <Characters>17002</Characters>
  <Lines>141</Lines>
  <Paragraphs>39</Paragraphs>
  <TotalTime>565</TotalTime>
  <ScaleCrop>false</ScaleCrop>
  <LinksUpToDate>false</LinksUpToDate>
  <CharactersWithSpaces>19945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2020-11-30T02:39:00Z</dcterms:created>
  <dc:creator>朱自略</dc:creator>
  <cp:lastModifiedBy>谭天</cp:lastModifiedBy>
  <cp:lastPrinted>2021-04-08T02:14:00Z</cp:lastPrinted>
  <dcterms:modified xsi:type="dcterms:W3CDTF">2021-04-08T09:29:22Z</dcterms:modified>
  <dc:subject>东旭招标</dc:subject>
  <dc:title>战略研究招标文件</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47D0287DCEC04AADBD325005AC356FFE</vt:lpwstr>
  </property>
</Properties>
</file>